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480C3F" w:rsidRPr="00CA0D0A" w14:paraId="39D6EA9E" w14:textId="77777777" w:rsidTr="009F716A">
        <w:tc>
          <w:tcPr>
            <w:tcW w:w="2835" w:type="dxa"/>
            <w:vAlign w:val="bottom"/>
          </w:tcPr>
          <w:p w14:paraId="0F395A02" w14:textId="77777777" w:rsidR="00480C3F" w:rsidRPr="00CA0D0A" w:rsidRDefault="00480C3F" w:rsidP="009F716A">
            <w:pPr>
              <w:spacing w:after="0" w:line="240" w:lineRule="auto"/>
              <w:rPr>
                <w:rFonts w:ascii="Times New Roman" w:hAnsi="Times New Roman"/>
                <w:color w:val="000000" w:themeColor="text1"/>
                <w:sz w:val="18"/>
                <w:szCs w:val="18"/>
              </w:rPr>
            </w:pPr>
            <w:bookmarkStart w:id="0" w:name="_GoBack"/>
            <w:bookmarkEnd w:id="0"/>
            <w:r w:rsidRPr="00CA0D0A">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263EAE3C" w14:textId="46CBB782" w:rsidR="00480C3F" w:rsidRPr="006F5216" w:rsidRDefault="006F5216" w:rsidP="009F716A">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14</w:t>
            </w:r>
          </w:p>
        </w:tc>
        <w:tc>
          <w:tcPr>
            <w:tcW w:w="142" w:type="dxa"/>
            <w:vAlign w:val="bottom"/>
          </w:tcPr>
          <w:p w14:paraId="4DAEED6B" w14:textId="77777777" w:rsidR="00480C3F" w:rsidRPr="00CA0D0A" w:rsidRDefault="00480C3F" w:rsidP="009F716A">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4AD6EF7F" w14:textId="7F4CA0E8" w:rsidR="00480C3F" w:rsidRPr="00CA0D0A" w:rsidRDefault="006F5216" w:rsidP="006F5216">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июля</w:t>
            </w:r>
          </w:p>
        </w:tc>
        <w:tc>
          <w:tcPr>
            <w:tcW w:w="425" w:type="dxa"/>
            <w:vAlign w:val="bottom"/>
          </w:tcPr>
          <w:p w14:paraId="32AEBBDF" w14:textId="77777777" w:rsidR="00480C3F" w:rsidRPr="00CA0D0A" w:rsidRDefault="00480C3F" w:rsidP="009F716A">
            <w:pPr>
              <w:autoSpaceDE w:val="0"/>
              <w:autoSpaceDN w:val="0"/>
              <w:spacing w:after="0" w:line="240" w:lineRule="auto"/>
              <w:jc w:val="right"/>
              <w:rPr>
                <w:rFonts w:ascii="Times New Roman" w:hAnsi="Times New Roman"/>
                <w:b/>
                <w:color w:val="000000" w:themeColor="text1"/>
                <w:sz w:val="18"/>
                <w:szCs w:val="18"/>
                <w:lang w:val="en-US"/>
              </w:rPr>
            </w:pPr>
            <w:r w:rsidRPr="00CA0D0A">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746A2097" w14:textId="77777777" w:rsidR="00480C3F" w:rsidRPr="00CA0D0A" w:rsidRDefault="00480C3F" w:rsidP="009F716A">
            <w:pPr>
              <w:autoSpaceDE w:val="0"/>
              <w:autoSpaceDN w:val="0"/>
              <w:spacing w:after="0" w:line="240" w:lineRule="auto"/>
              <w:rPr>
                <w:rFonts w:ascii="Times New Roman" w:hAnsi="Times New Roman"/>
                <w:b/>
                <w:color w:val="000000" w:themeColor="text1"/>
                <w:sz w:val="18"/>
                <w:szCs w:val="18"/>
              </w:rPr>
            </w:pPr>
            <w:r w:rsidRPr="00CA0D0A">
              <w:rPr>
                <w:rFonts w:ascii="Times New Roman" w:hAnsi="Times New Roman"/>
                <w:b/>
                <w:color w:val="000000" w:themeColor="text1"/>
                <w:sz w:val="18"/>
                <w:szCs w:val="18"/>
                <w:lang w:val="en-US"/>
              </w:rPr>
              <w:t>20</w:t>
            </w:r>
          </w:p>
        </w:tc>
        <w:tc>
          <w:tcPr>
            <w:tcW w:w="285" w:type="dxa"/>
            <w:vAlign w:val="bottom"/>
          </w:tcPr>
          <w:p w14:paraId="2671451B" w14:textId="77777777" w:rsidR="00480C3F" w:rsidRPr="00CA0D0A" w:rsidRDefault="00480C3F" w:rsidP="009F716A">
            <w:pPr>
              <w:autoSpaceDE w:val="0"/>
              <w:autoSpaceDN w:val="0"/>
              <w:spacing w:after="0" w:line="240" w:lineRule="auto"/>
              <w:rPr>
                <w:rFonts w:ascii="Times New Roman" w:hAnsi="Times New Roman"/>
                <w:b/>
                <w:color w:val="000000" w:themeColor="text1"/>
                <w:sz w:val="18"/>
                <w:szCs w:val="18"/>
              </w:rPr>
            </w:pPr>
          </w:p>
          <w:p w14:paraId="6274E736" w14:textId="77777777" w:rsidR="00480C3F" w:rsidRPr="00CA0D0A" w:rsidRDefault="00480C3F" w:rsidP="009F716A">
            <w:pPr>
              <w:autoSpaceDE w:val="0"/>
              <w:autoSpaceDN w:val="0"/>
              <w:spacing w:after="0" w:line="240" w:lineRule="auto"/>
              <w:rPr>
                <w:rFonts w:ascii="Times New Roman" w:hAnsi="Times New Roman"/>
                <w:b/>
                <w:color w:val="000000" w:themeColor="text1"/>
                <w:sz w:val="18"/>
                <w:szCs w:val="18"/>
              </w:rPr>
            </w:pPr>
            <w:r w:rsidRPr="00CA0D0A">
              <w:rPr>
                <w:rFonts w:ascii="Times New Roman" w:hAnsi="Times New Roman"/>
                <w:b/>
                <w:color w:val="000000" w:themeColor="text1"/>
                <w:sz w:val="18"/>
                <w:szCs w:val="18"/>
              </w:rPr>
              <w:t>г.</w:t>
            </w:r>
          </w:p>
        </w:tc>
      </w:tr>
    </w:tbl>
    <w:p w14:paraId="04F38DBD" w14:textId="77777777" w:rsidR="00480C3F" w:rsidRPr="00CA0D0A" w:rsidRDefault="00480C3F" w:rsidP="00480C3F">
      <w:pPr>
        <w:autoSpaceDE w:val="0"/>
        <w:autoSpaceDN w:val="0"/>
        <w:spacing w:after="0" w:line="240" w:lineRule="auto"/>
        <w:ind w:left="3828"/>
        <w:jc w:val="center"/>
        <w:rPr>
          <w:rFonts w:ascii="Times New Roman" w:hAnsi="Times New Roman"/>
          <w:color w:val="000000"/>
          <w:sz w:val="18"/>
          <w:szCs w:val="18"/>
          <w:lang w:val="en-US"/>
        </w:rPr>
      </w:pPr>
    </w:p>
    <w:p w14:paraId="0E913313" w14:textId="77777777" w:rsidR="00480C3F" w:rsidRPr="00CA0D0A" w:rsidRDefault="00480C3F" w:rsidP="00480C3F">
      <w:pPr>
        <w:autoSpaceDE w:val="0"/>
        <w:autoSpaceDN w:val="0"/>
        <w:spacing w:after="0" w:line="240" w:lineRule="auto"/>
        <w:ind w:left="3828"/>
        <w:jc w:val="center"/>
        <w:rPr>
          <w:rFonts w:ascii="Times New Roman" w:hAnsi="Times New Roman"/>
          <w:color w:val="000000" w:themeColor="text1"/>
          <w:sz w:val="18"/>
          <w:szCs w:val="18"/>
        </w:rPr>
      </w:pPr>
    </w:p>
    <w:p w14:paraId="73612835" w14:textId="77777777" w:rsidR="00480C3F" w:rsidRPr="00CA0D0A" w:rsidRDefault="00480C3F" w:rsidP="00480C3F">
      <w:pPr>
        <w:autoSpaceDE w:val="0"/>
        <w:autoSpaceDN w:val="0"/>
        <w:spacing w:after="0" w:line="240" w:lineRule="auto"/>
        <w:ind w:left="3828"/>
        <w:jc w:val="center"/>
        <w:rPr>
          <w:rFonts w:ascii="Times New Roman" w:hAnsi="Times New Roman"/>
          <w:b/>
          <w:color w:val="000000" w:themeColor="text1"/>
          <w:sz w:val="20"/>
          <w:szCs w:val="20"/>
        </w:rPr>
      </w:pPr>
      <w:r w:rsidRPr="00CA0D0A">
        <w:rPr>
          <w:rFonts w:ascii="Times New Roman" w:hAnsi="Times New Roman"/>
          <w:b/>
          <w:bCs/>
          <w:color w:val="000000" w:themeColor="text1"/>
          <w:sz w:val="20"/>
          <w:szCs w:val="20"/>
        </w:rPr>
        <w:t>ПАО Московская Биржа</w:t>
      </w:r>
    </w:p>
    <w:p w14:paraId="71505DF4" w14:textId="77777777" w:rsidR="00480C3F" w:rsidRPr="00CA0D0A" w:rsidRDefault="00480C3F" w:rsidP="00480C3F">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CA0D0A">
        <w:rPr>
          <w:rFonts w:ascii="Times New Roman" w:hAnsi="Times New Roman"/>
          <w:color w:val="000000"/>
          <w:sz w:val="12"/>
          <w:szCs w:val="12"/>
        </w:rPr>
        <w:t>(наименование регистрирующей организации)</w:t>
      </w:r>
    </w:p>
    <w:p w14:paraId="33315EA4" w14:textId="77777777" w:rsidR="00480C3F" w:rsidRPr="00CA0D0A" w:rsidRDefault="00480C3F" w:rsidP="00480C3F">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08087CF1" w14:textId="77777777" w:rsidR="00480C3F" w:rsidRPr="00CA0D0A" w:rsidRDefault="00480C3F" w:rsidP="00480C3F">
      <w:pPr>
        <w:autoSpaceDE w:val="0"/>
        <w:autoSpaceDN w:val="0"/>
        <w:spacing w:after="0" w:line="240" w:lineRule="auto"/>
        <w:jc w:val="center"/>
        <w:rPr>
          <w:rFonts w:ascii="Times New Roman" w:hAnsi="Times New Roman"/>
          <w:color w:val="000000"/>
          <w:sz w:val="12"/>
          <w:szCs w:val="12"/>
        </w:rPr>
      </w:pPr>
    </w:p>
    <w:p w14:paraId="48ADE857" w14:textId="77777777" w:rsidR="00480C3F" w:rsidRPr="00CA0D0A" w:rsidRDefault="00480C3F" w:rsidP="00480C3F">
      <w:pPr>
        <w:autoSpaceDE w:val="0"/>
        <w:autoSpaceDN w:val="0"/>
        <w:spacing w:after="0" w:line="240" w:lineRule="auto"/>
        <w:jc w:val="center"/>
        <w:rPr>
          <w:rFonts w:ascii="Times New Roman" w:hAnsi="Times New Roman"/>
          <w:color w:val="000000"/>
          <w:sz w:val="12"/>
          <w:szCs w:val="12"/>
        </w:rPr>
      </w:pPr>
    </w:p>
    <w:p w14:paraId="52B733B0" w14:textId="77777777" w:rsidR="00480C3F" w:rsidRPr="00CA0D0A" w:rsidRDefault="00480C3F" w:rsidP="00480C3F">
      <w:pPr>
        <w:autoSpaceDE w:val="0"/>
        <w:autoSpaceDN w:val="0"/>
        <w:spacing w:after="0" w:line="240" w:lineRule="auto"/>
        <w:jc w:val="center"/>
        <w:rPr>
          <w:rFonts w:ascii="Times New Roman" w:hAnsi="Times New Roman"/>
          <w:color w:val="000000"/>
          <w:sz w:val="12"/>
          <w:szCs w:val="12"/>
        </w:rPr>
      </w:pPr>
    </w:p>
    <w:p w14:paraId="5946B7DC" w14:textId="77777777" w:rsidR="00480C3F" w:rsidRPr="00CA0D0A" w:rsidRDefault="00480C3F" w:rsidP="00480C3F">
      <w:pPr>
        <w:autoSpaceDE w:val="0"/>
        <w:autoSpaceDN w:val="0"/>
        <w:spacing w:after="0" w:line="240" w:lineRule="auto"/>
        <w:jc w:val="center"/>
        <w:rPr>
          <w:rFonts w:ascii="Times New Roman" w:hAnsi="Times New Roman"/>
          <w:color w:val="000000"/>
          <w:sz w:val="12"/>
          <w:szCs w:val="12"/>
        </w:rPr>
      </w:pPr>
    </w:p>
    <w:p w14:paraId="0908535C" w14:textId="77777777" w:rsidR="00480C3F" w:rsidRPr="00CA0D0A" w:rsidRDefault="00480C3F" w:rsidP="00480C3F">
      <w:pPr>
        <w:autoSpaceDE w:val="0"/>
        <w:autoSpaceDN w:val="0"/>
        <w:spacing w:after="0" w:line="240" w:lineRule="auto"/>
        <w:jc w:val="center"/>
        <w:rPr>
          <w:rFonts w:ascii="Times New Roman" w:hAnsi="Times New Roman"/>
          <w:color w:val="000000"/>
          <w:sz w:val="12"/>
          <w:szCs w:val="12"/>
        </w:rPr>
      </w:pPr>
    </w:p>
    <w:p w14:paraId="1F729B22" w14:textId="77777777" w:rsidR="00480C3F" w:rsidRPr="00CA0D0A" w:rsidRDefault="00480C3F" w:rsidP="00480C3F">
      <w:pPr>
        <w:autoSpaceDE w:val="0"/>
        <w:autoSpaceDN w:val="0"/>
        <w:spacing w:after="0" w:line="240" w:lineRule="auto"/>
        <w:jc w:val="center"/>
        <w:rPr>
          <w:rFonts w:ascii="Times New Roman" w:hAnsi="Times New Roman"/>
          <w:color w:val="000000"/>
          <w:sz w:val="12"/>
          <w:szCs w:val="12"/>
        </w:rPr>
      </w:pPr>
    </w:p>
    <w:p w14:paraId="0AB62F5C" w14:textId="77777777" w:rsidR="00480C3F" w:rsidRPr="00CA0D0A" w:rsidRDefault="00480C3F" w:rsidP="00480C3F">
      <w:pPr>
        <w:autoSpaceDE w:val="0"/>
        <w:autoSpaceDN w:val="0"/>
        <w:spacing w:after="0" w:line="240" w:lineRule="auto"/>
        <w:jc w:val="center"/>
        <w:rPr>
          <w:rFonts w:ascii="Times New Roman" w:hAnsi="Times New Roman"/>
          <w:color w:val="000000"/>
          <w:sz w:val="12"/>
          <w:szCs w:val="12"/>
        </w:rPr>
      </w:pPr>
    </w:p>
    <w:p w14:paraId="0A43A541" w14:textId="77777777" w:rsidR="00480C3F" w:rsidRPr="00CA0D0A" w:rsidRDefault="00480C3F" w:rsidP="00480C3F">
      <w:pPr>
        <w:autoSpaceDE w:val="0"/>
        <w:autoSpaceDN w:val="0"/>
        <w:spacing w:after="0" w:line="240" w:lineRule="auto"/>
        <w:jc w:val="center"/>
        <w:rPr>
          <w:rFonts w:ascii="Times New Roman" w:hAnsi="Times New Roman"/>
          <w:color w:val="000000"/>
          <w:sz w:val="12"/>
          <w:szCs w:val="12"/>
        </w:rPr>
      </w:pPr>
    </w:p>
    <w:p w14:paraId="6027775E" w14:textId="77777777" w:rsidR="00480C3F" w:rsidRPr="00CA0D0A" w:rsidRDefault="00480C3F" w:rsidP="00480C3F">
      <w:pPr>
        <w:autoSpaceDE w:val="0"/>
        <w:autoSpaceDN w:val="0"/>
        <w:spacing w:after="0" w:line="240" w:lineRule="auto"/>
        <w:jc w:val="center"/>
        <w:rPr>
          <w:rFonts w:ascii="Times New Roman" w:hAnsi="Times New Roman"/>
          <w:b/>
          <w:bCs/>
          <w:color w:val="000000" w:themeColor="text1"/>
          <w:sz w:val="28"/>
          <w:szCs w:val="28"/>
        </w:rPr>
      </w:pPr>
    </w:p>
    <w:p w14:paraId="651B394C" w14:textId="77777777" w:rsidR="00480C3F" w:rsidRPr="00CA0D0A" w:rsidRDefault="00480C3F" w:rsidP="00480C3F">
      <w:pPr>
        <w:autoSpaceDE w:val="0"/>
        <w:autoSpaceDN w:val="0"/>
        <w:spacing w:after="0" w:line="240" w:lineRule="auto"/>
        <w:rPr>
          <w:rFonts w:ascii="Times New Roman" w:hAnsi="Times New Roman"/>
          <w:b/>
          <w:bCs/>
          <w:color w:val="000000" w:themeColor="text1"/>
          <w:sz w:val="28"/>
          <w:szCs w:val="28"/>
        </w:rPr>
      </w:pPr>
    </w:p>
    <w:p w14:paraId="607204E1" w14:textId="77777777" w:rsidR="00480C3F" w:rsidRPr="00CA0D0A" w:rsidRDefault="00480C3F" w:rsidP="00480C3F">
      <w:pPr>
        <w:autoSpaceDE w:val="0"/>
        <w:autoSpaceDN w:val="0"/>
        <w:spacing w:after="0" w:line="240" w:lineRule="auto"/>
        <w:jc w:val="center"/>
        <w:rPr>
          <w:rFonts w:ascii="Times New Roman" w:hAnsi="Times New Roman"/>
          <w:b/>
          <w:bCs/>
          <w:color w:val="000000" w:themeColor="text1"/>
          <w:sz w:val="28"/>
          <w:szCs w:val="28"/>
        </w:rPr>
      </w:pPr>
    </w:p>
    <w:p w14:paraId="113217A3" w14:textId="77777777" w:rsidR="00480C3F" w:rsidRPr="00CA0D0A" w:rsidRDefault="00480C3F" w:rsidP="00480C3F">
      <w:pPr>
        <w:autoSpaceDE w:val="0"/>
        <w:autoSpaceDN w:val="0"/>
        <w:spacing w:after="0" w:line="240" w:lineRule="auto"/>
        <w:jc w:val="center"/>
        <w:rPr>
          <w:rFonts w:ascii="Times New Roman" w:hAnsi="Times New Roman"/>
          <w:b/>
          <w:bCs/>
          <w:color w:val="000000" w:themeColor="text1"/>
          <w:sz w:val="28"/>
          <w:szCs w:val="28"/>
        </w:rPr>
      </w:pPr>
    </w:p>
    <w:p w14:paraId="49C19145" w14:textId="77777777" w:rsidR="00480C3F" w:rsidRPr="00CA0D0A" w:rsidRDefault="00480C3F" w:rsidP="00480C3F">
      <w:pPr>
        <w:autoSpaceDE w:val="0"/>
        <w:autoSpaceDN w:val="0"/>
        <w:spacing w:after="0" w:line="240" w:lineRule="auto"/>
        <w:jc w:val="center"/>
        <w:rPr>
          <w:rFonts w:ascii="Times New Roman" w:hAnsi="Times New Roman"/>
          <w:b/>
          <w:bCs/>
          <w:color w:val="000000" w:themeColor="text1"/>
          <w:sz w:val="28"/>
          <w:szCs w:val="28"/>
        </w:rPr>
      </w:pPr>
    </w:p>
    <w:p w14:paraId="21EEE1BB" w14:textId="77777777" w:rsidR="00480C3F" w:rsidRPr="00CA0D0A" w:rsidRDefault="00480C3F" w:rsidP="00480C3F">
      <w:pPr>
        <w:autoSpaceDE w:val="0"/>
        <w:autoSpaceDN w:val="0"/>
        <w:spacing w:after="0" w:line="240" w:lineRule="auto"/>
        <w:jc w:val="center"/>
        <w:rPr>
          <w:rFonts w:ascii="Times New Roman" w:hAnsi="Times New Roman"/>
          <w:b/>
          <w:bCs/>
          <w:color w:val="000000"/>
          <w:sz w:val="28"/>
          <w:szCs w:val="28"/>
        </w:rPr>
      </w:pPr>
      <w:r w:rsidRPr="00CA0D0A">
        <w:rPr>
          <w:rFonts w:ascii="Times New Roman" w:hAnsi="Times New Roman"/>
          <w:b/>
          <w:bCs/>
          <w:color w:val="000000"/>
          <w:sz w:val="28"/>
          <w:szCs w:val="28"/>
        </w:rPr>
        <w:t xml:space="preserve">ИЗМЕНЕНИЯ В РЕШЕНИЕ О ВЫПУСКЕ ЦЕННЫХ БУМАГ </w:t>
      </w:r>
    </w:p>
    <w:p w14:paraId="6456785B" w14:textId="77777777" w:rsidR="00480C3F" w:rsidRPr="00CA0D0A" w:rsidRDefault="00480C3F" w:rsidP="00480C3F">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64542874" w14:textId="77777777" w:rsidR="00480C3F" w:rsidRPr="00CA0D0A" w:rsidRDefault="00480C3F" w:rsidP="00480C3F">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0BA0CB7A" w14:textId="77777777" w:rsidR="00480C3F" w:rsidRPr="00CA0D0A" w:rsidRDefault="00480C3F" w:rsidP="00480C3F">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32AAB8ED" w14:textId="77777777" w:rsidR="00480C3F" w:rsidRPr="00CA0D0A" w:rsidRDefault="00480C3F" w:rsidP="00480C3F">
      <w:pPr>
        <w:pStyle w:val="1"/>
        <w:spacing w:before="40"/>
        <w:jc w:val="center"/>
        <w:rPr>
          <w:rFonts w:ascii="Times New Roman" w:hAnsi="Times New Roman" w:cs="Times New Roman"/>
          <w:b/>
          <w:color w:val="000000" w:themeColor="text1"/>
          <w:sz w:val="24"/>
          <w:szCs w:val="24"/>
          <w:lang w:eastAsia="x-none"/>
        </w:rPr>
      </w:pPr>
      <w:r w:rsidRPr="00CA0D0A">
        <w:rPr>
          <w:rFonts w:ascii="Times New Roman" w:hAnsi="Times New Roman" w:cs="Times New Roman"/>
          <w:b/>
          <w:color w:val="000000" w:themeColor="text1"/>
          <w:sz w:val="24"/>
          <w:szCs w:val="24"/>
          <w:lang w:eastAsia="x-none"/>
        </w:rPr>
        <w:t>Банк ВТБ (публичное акционерное общество)</w:t>
      </w:r>
    </w:p>
    <w:p w14:paraId="5A851903" w14:textId="77777777" w:rsidR="00480C3F" w:rsidRPr="00CA0D0A" w:rsidRDefault="00480C3F" w:rsidP="00480C3F">
      <w:pPr>
        <w:autoSpaceDE w:val="0"/>
        <w:autoSpaceDN w:val="0"/>
        <w:spacing w:after="0" w:line="240" w:lineRule="auto"/>
        <w:jc w:val="center"/>
        <w:rPr>
          <w:rFonts w:ascii="Times New Roman" w:hAnsi="Times New Roman"/>
          <w:b/>
          <w:bCs/>
          <w:i/>
          <w:iCs/>
          <w:sz w:val="20"/>
          <w:szCs w:val="20"/>
        </w:rPr>
      </w:pPr>
    </w:p>
    <w:p w14:paraId="3F1D7BC8" w14:textId="77777777" w:rsidR="00480C3F" w:rsidRPr="00CA0D0A" w:rsidRDefault="00480C3F" w:rsidP="00480C3F">
      <w:pPr>
        <w:autoSpaceDE w:val="0"/>
        <w:autoSpaceDN w:val="0"/>
        <w:spacing w:after="0" w:line="240" w:lineRule="auto"/>
        <w:jc w:val="center"/>
        <w:rPr>
          <w:rFonts w:ascii="Times New Roman" w:hAnsi="Times New Roman"/>
          <w:b/>
          <w:bCs/>
          <w:i/>
          <w:iCs/>
          <w:sz w:val="20"/>
          <w:szCs w:val="20"/>
        </w:rPr>
      </w:pPr>
    </w:p>
    <w:p w14:paraId="69226C83" w14:textId="77777777" w:rsidR="00480C3F" w:rsidRPr="00CA0D0A" w:rsidRDefault="00480C3F" w:rsidP="00480C3F">
      <w:pPr>
        <w:autoSpaceDE w:val="0"/>
        <w:autoSpaceDN w:val="0"/>
        <w:spacing w:after="0" w:line="240" w:lineRule="auto"/>
        <w:jc w:val="center"/>
        <w:rPr>
          <w:rFonts w:ascii="Times New Roman" w:hAnsi="Times New Roman"/>
          <w:b/>
          <w:bCs/>
          <w:i/>
          <w:iCs/>
          <w:sz w:val="20"/>
          <w:szCs w:val="20"/>
        </w:rPr>
      </w:pPr>
    </w:p>
    <w:p w14:paraId="68A9DB05" w14:textId="77777777" w:rsidR="00480C3F" w:rsidRPr="00CA0D0A" w:rsidRDefault="00480C3F" w:rsidP="00480C3F">
      <w:pPr>
        <w:autoSpaceDE w:val="0"/>
        <w:autoSpaceDN w:val="0"/>
        <w:spacing w:after="0" w:line="240" w:lineRule="auto"/>
        <w:jc w:val="center"/>
        <w:rPr>
          <w:rFonts w:ascii="Times New Roman" w:hAnsi="Times New Roman"/>
          <w:b/>
          <w:bCs/>
          <w:i/>
          <w:iCs/>
          <w:sz w:val="20"/>
          <w:szCs w:val="20"/>
        </w:rPr>
      </w:pPr>
    </w:p>
    <w:p w14:paraId="57442B34" w14:textId="77777777" w:rsidR="00480C3F" w:rsidRPr="00CA0D0A" w:rsidRDefault="00480C3F" w:rsidP="00480C3F">
      <w:pPr>
        <w:autoSpaceDE w:val="0"/>
        <w:autoSpaceDN w:val="0"/>
        <w:spacing w:after="0" w:line="240" w:lineRule="auto"/>
        <w:jc w:val="center"/>
        <w:rPr>
          <w:rFonts w:ascii="Times New Roman" w:hAnsi="Times New Roman"/>
          <w:b/>
          <w:bCs/>
          <w:i/>
          <w:iCs/>
          <w:sz w:val="24"/>
          <w:szCs w:val="24"/>
        </w:rPr>
      </w:pPr>
      <w:r w:rsidRPr="00CA0D0A">
        <w:rPr>
          <w:rFonts w:ascii="Times New Roman" w:hAnsi="Times New Roman"/>
          <w:b/>
          <w:bCs/>
          <w:i/>
          <w:iCs/>
          <w:sz w:val="24"/>
          <w:szCs w:val="24"/>
        </w:rPr>
        <w:t>биржевые облигации процентные дисконтные неконвертируемые бездокументарные с централизованным учетом прав серии Б-1-9</w:t>
      </w:r>
      <w:r w:rsidRPr="00305080">
        <w:rPr>
          <w:rFonts w:ascii="Times New Roman" w:hAnsi="Times New Roman"/>
          <w:b/>
          <w:bCs/>
          <w:i/>
          <w:iCs/>
          <w:sz w:val="24"/>
          <w:szCs w:val="24"/>
        </w:rPr>
        <w:t>0</w:t>
      </w:r>
      <w:r w:rsidRPr="00CA0D0A">
        <w:rPr>
          <w:rFonts w:ascii="Times New Roman" w:hAnsi="Times New Roman"/>
          <w:b/>
          <w:bCs/>
          <w:i/>
          <w:iCs/>
          <w:sz w:val="24"/>
          <w:szCs w:val="24"/>
        </w:rPr>
        <w:t xml:space="preserve"> номинальной стоимостью 1 000 (Одна тысяча) российских рублей каждая, со сроком погашения в 1820-й (Одна тысяча восемьсот двадцатый) день с даты начала размещения выпуска биржевых облигаций в рамках программы биржевых облигаций, размещаемые путем открытой подписки</w:t>
      </w:r>
    </w:p>
    <w:p w14:paraId="6D3A424E" w14:textId="77777777" w:rsidR="00480C3F" w:rsidRPr="00CA0D0A" w:rsidRDefault="00480C3F" w:rsidP="00480C3F">
      <w:pPr>
        <w:spacing w:after="0" w:line="240" w:lineRule="auto"/>
        <w:jc w:val="center"/>
        <w:rPr>
          <w:rFonts w:ascii="Times New Roman" w:hAnsi="Times New Roman"/>
          <w:b/>
          <w:bCs/>
          <w:i/>
          <w:iCs/>
          <w:sz w:val="24"/>
          <w:szCs w:val="24"/>
        </w:rPr>
      </w:pPr>
    </w:p>
    <w:p w14:paraId="6F0E910F" w14:textId="77777777" w:rsidR="00480C3F" w:rsidRPr="00CA0D0A" w:rsidRDefault="00480C3F" w:rsidP="00480C3F">
      <w:pPr>
        <w:spacing w:after="0" w:line="240" w:lineRule="auto"/>
        <w:jc w:val="center"/>
        <w:rPr>
          <w:rFonts w:ascii="Times New Roman" w:hAnsi="Times New Roman"/>
          <w:b/>
          <w:bCs/>
          <w:i/>
          <w:iCs/>
          <w:sz w:val="24"/>
          <w:szCs w:val="24"/>
        </w:rPr>
      </w:pPr>
      <w:r w:rsidRPr="00CA0D0A">
        <w:rPr>
          <w:rFonts w:ascii="Times New Roman" w:hAnsi="Times New Roman"/>
          <w:b/>
          <w:bCs/>
          <w:i/>
          <w:iCs/>
          <w:sz w:val="24"/>
          <w:szCs w:val="24"/>
        </w:rPr>
        <w:t>Регистрационный номер выпуска ценных бумаг:</w:t>
      </w:r>
    </w:p>
    <w:p w14:paraId="1CDFEDDA" w14:textId="77777777" w:rsidR="00480C3F" w:rsidRPr="00CA0D0A" w:rsidRDefault="00480C3F" w:rsidP="00480C3F">
      <w:pPr>
        <w:spacing w:after="0" w:line="240" w:lineRule="auto"/>
        <w:jc w:val="center"/>
        <w:rPr>
          <w:rFonts w:ascii="Times New Roman" w:hAnsi="Times New Roman"/>
          <w:b/>
          <w:bCs/>
          <w:i/>
          <w:iCs/>
          <w:sz w:val="24"/>
          <w:szCs w:val="24"/>
        </w:rPr>
      </w:pPr>
    </w:p>
    <w:tbl>
      <w:tblPr>
        <w:tblW w:w="5857" w:type="dxa"/>
        <w:jc w:val="center"/>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tblGrid>
      <w:tr w:rsidR="00480C3F" w:rsidRPr="00CA0D0A" w14:paraId="48220B92" w14:textId="77777777" w:rsidTr="009F716A">
        <w:trPr>
          <w:trHeight w:hRule="exact" w:val="306"/>
          <w:jc w:val="center"/>
        </w:trPr>
        <w:tc>
          <w:tcPr>
            <w:tcW w:w="312" w:type="dxa"/>
            <w:tcBorders>
              <w:top w:val="single" w:sz="4" w:space="0" w:color="auto"/>
              <w:left w:val="single" w:sz="4" w:space="0" w:color="auto"/>
              <w:bottom w:val="single" w:sz="4" w:space="0" w:color="auto"/>
            </w:tcBorders>
            <w:vAlign w:val="center"/>
          </w:tcPr>
          <w:p w14:paraId="55B49258" w14:textId="77777777" w:rsidR="00480C3F" w:rsidRPr="00CA0D0A" w:rsidRDefault="00480C3F" w:rsidP="009F716A">
            <w:pPr>
              <w:autoSpaceDE w:val="0"/>
              <w:autoSpaceDN w:val="0"/>
              <w:spacing w:after="0" w:line="240" w:lineRule="auto"/>
              <w:ind w:left="-28" w:firstLine="28"/>
              <w:jc w:val="center"/>
              <w:rPr>
                <w:rFonts w:ascii="Times New Roman" w:hAnsi="Times New Roman"/>
                <w:color w:val="000000" w:themeColor="text1"/>
                <w:sz w:val="24"/>
                <w:szCs w:val="24"/>
              </w:rPr>
            </w:pPr>
            <w:r w:rsidRPr="00CA0D0A">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0B5F251F" w14:textId="77777777" w:rsidR="00480C3F" w:rsidRPr="00CA0D0A" w:rsidRDefault="00480C3F" w:rsidP="009F716A">
            <w:pPr>
              <w:autoSpaceDE w:val="0"/>
              <w:autoSpaceDN w:val="0"/>
              <w:spacing w:after="0" w:line="240" w:lineRule="auto"/>
              <w:jc w:val="center"/>
              <w:rPr>
                <w:rFonts w:ascii="Times New Roman" w:hAnsi="Times New Roman"/>
                <w:color w:val="000000" w:themeColor="text1"/>
                <w:sz w:val="24"/>
                <w:szCs w:val="24"/>
              </w:rPr>
            </w:pPr>
            <w:r w:rsidRPr="00CA0D0A">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5C1FBFFF" w14:textId="77777777" w:rsidR="00480C3F" w:rsidRPr="00CA0D0A" w:rsidRDefault="00480C3F" w:rsidP="009F716A">
            <w:pPr>
              <w:autoSpaceDE w:val="0"/>
              <w:autoSpaceDN w:val="0"/>
              <w:spacing w:after="0" w:line="240" w:lineRule="auto"/>
              <w:jc w:val="center"/>
              <w:rPr>
                <w:rFonts w:ascii="Times New Roman" w:hAnsi="Times New Roman"/>
                <w:color w:val="000000" w:themeColor="text1"/>
                <w:sz w:val="24"/>
                <w:szCs w:val="24"/>
              </w:rPr>
            </w:pPr>
            <w:r w:rsidRPr="00CA0D0A">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49157A25" w14:textId="77777777" w:rsidR="00480C3F" w:rsidRPr="00CA0D0A" w:rsidRDefault="00480C3F" w:rsidP="009F716A">
            <w:pPr>
              <w:autoSpaceDE w:val="0"/>
              <w:autoSpaceDN w:val="0"/>
              <w:spacing w:after="0" w:line="240" w:lineRule="auto"/>
              <w:jc w:val="center"/>
              <w:rPr>
                <w:rFonts w:ascii="Times New Roman" w:hAnsi="Times New Roman"/>
                <w:color w:val="000000" w:themeColor="text1"/>
                <w:sz w:val="24"/>
                <w:szCs w:val="24"/>
              </w:rPr>
            </w:pPr>
            <w:r w:rsidRPr="00CA0D0A">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57FBB57B" w14:textId="77777777" w:rsidR="00480C3F" w:rsidRPr="00CA0D0A" w:rsidRDefault="00480C3F" w:rsidP="009F716A">
            <w:pPr>
              <w:autoSpaceDE w:val="0"/>
              <w:autoSpaceDN w:val="0"/>
              <w:spacing w:after="0" w:line="240" w:lineRule="auto"/>
              <w:jc w:val="center"/>
              <w:rPr>
                <w:rFonts w:ascii="Times New Roman" w:hAnsi="Times New Roman"/>
                <w:color w:val="000000" w:themeColor="text1"/>
                <w:sz w:val="24"/>
                <w:szCs w:val="24"/>
              </w:rPr>
            </w:pPr>
            <w:r w:rsidRPr="00CA0D0A">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6E6E19EE" w14:textId="77777777" w:rsidR="00480C3F" w:rsidRPr="00CA0D0A" w:rsidRDefault="00480C3F" w:rsidP="009F716A">
            <w:pPr>
              <w:autoSpaceDE w:val="0"/>
              <w:autoSpaceDN w:val="0"/>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lang w:val="en-US"/>
              </w:rPr>
              <w:t>9</w:t>
            </w:r>
          </w:p>
        </w:tc>
        <w:tc>
          <w:tcPr>
            <w:tcW w:w="306" w:type="dxa"/>
            <w:tcBorders>
              <w:top w:val="single" w:sz="4" w:space="0" w:color="auto"/>
              <w:left w:val="single" w:sz="4" w:space="0" w:color="auto"/>
              <w:bottom w:val="single" w:sz="4" w:space="0" w:color="auto"/>
              <w:right w:val="single" w:sz="4" w:space="0" w:color="auto"/>
            </w:tcBorders>
            <w:vAlign w:val="center"/>
          </w:tcPr>
          <w:p w14:paraId="10E5AF08" w14:textId="77777777" w:rsidR="00480C3F" w:rsidRPr="00305080" w:rsidRDefault="00480C3F" w:rsidP="009F716A">
            <w:pPr>
              <w:autoSpaceDE w:val="0"/>
              <w:autoSpaceDN w:val="0"/>
              <w:spacing w:after="0" w:line="240" w:lineRule="auto"/>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56788B37" w14:textId="77777777" w:rsidR="00480C3F" w:rsidRPr="00CA0D0A" w:rsidRDefault="00480C3F" w:rsidP="009F716A">
            <w:pPr>
              <w:autoSpaceDE w:val="0"/>
              <w:autoSpaceDN w:val="0"/>
              <w:spacing w:after="0" w:line="240" w:lineRule="auto"/>
              <w:jc w:val="center"/>
              <w:rPr>
                <w:rFonts w:ascii="Times New Roman" w:hAnsi="Times New Roman"/>
                <w:color w:val="000000" w:themeColor="text1"/>
                <w:sz w:val="24"/>
                <w:szCs w:val="24"/>
              </w:rPr>
            </w:pPr>
            <w:r w:rsidRPr="00CA0D0A">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981977E" w14:textId="77777777" w:rsidR="00480C3F" w:rsidRPr="00CA0D0A" w:rsidRDefault="00480C3F" w:rsidP="009F716A">
            <w:pPr>
              <w:autoSpaceDE w:val="0"/>
              <w:autoSpaceDN w:val="0"/>
              <w:spacing w:after="0" w:line="240" w:lineRule="auto"/>
              <w:jc w:val="center"/>
              <w:rPr>
                <w:rFonts w:ascii="Times New Roman" w:hAnsi="Times New Roman"/>
                <w:color w:val="000000" w:themeColor="text1"/>
                <w:sz w:val="24"/>
                <w:szCs w:val="24"/>
              </w:rPr>
            </w:pPr>
            <w:r w:rsidRPr="00CA0D0A">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B9DA6CC" w14:textId="77777777" w:rsidR="00480C3F" w:rsidRPr="00CA0D0A" w:rsidRDefault="00480C3F" w:rsidP="009F716A">
            <w:pPr>
              <w:autoSpaceDE w:val="0"/>
              <w:autoSpaceDN w:val="0"/>
              <w:spacing w:after="0" w:line="240" w:lineRule="auto"/>
              <w:jc w:val="center"/>
              <w:rPr>
                <w:rFonts w:ascii="Times New Roman" w:hAnsi="Times New Roman"/>
                <w:color w:val="000000" w:themeColor="text1"/>
                <w:sz w:val="24"/>
                <w:szCs w:val="24"/>
              </w:rPr>
            </w:pPr>
            <w:r w:rsidRPr="00CA0D0A">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A14BAC5" w14:textId="77777777" w:rsidR="00480C3F" w:rsidRPr="00CA0D0A" w:rsidRDefault="00480C3F" w:rsidP="009F716A">
            <w:pPr>
              <w:autoSpaceDE w:val="0"/>
              <w:autoSpaceDN w:val="0"/>
              <w:spacing w:after="0" w:line="240" w:lineRule="auto"/>
              <w:jc w:val="center"/>
              <w:rPr>
                <w:rFonts w:ascii="Times New Roman" w:hAnsi="Times New Roman"/>
                <w:color w:val="000000" w:themeColor="text1"/>
                <w:sz w:val="24"/>
                <w:szCs w:val="24"/>
              </w:rPr>
            </w:pPr>
            <w:r w:rsidRPr="00CA0D0A">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84E0F86" w14:textId="77777777" w:rsidR="00480C3F" w:rsidRPr="00CA0D0A" w:rsidRDefault="00480C3F" w:rsidP="009F716A">
            <w:pPr>
              <w:autoSpaceDE w:val="0"/>
              <w:autoSpaceDN w:val="0"/>
              <w:spacing w:after="0" w:line="240" w:lineRule="auto"/>
              <w:jc w:val="center"/>
              <w:rPr>
                <w:rFonts w:ascii="Times New Roman" w:hAnsi="Times New Roman"/>
                <w:color w:val="000000" w:themeColor="text1"/>
                <w:sz w:val="24"/>
                <w:szCs w:val="24"/>
              </w:rPr>
            </w:pPr>
            <w:r w:rsidRPr="00CA0D0A">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15B68078" w14:textId="77777777" w:rsidR="00480C3F" w:rsidRPr="00CA0D0A" w:rsidRDefault="00480C3F" w:rsidP="009F716A">
            <w:pPr>
              <w:autoSpaceDE w:val="0"/>
              <w:autoSpaceDN w:val="0"/>
              <w:spacing w:after="0" w:line="240" w:lineRule="auto"/>
              <w:jc w:val="center"/>
              <w:rPr>
                <w:rFonts w:ascii="Times New Roman" w:hAnsi="Times New Roman"/>
                <w:color w:val="000000" w:themeColor="text1"/>
                <w:sz w:val="24"/>
                <w:szCs w:val="24"/>
              </w:rPr>
            </w:pPr>
            <w:r w:rsidRPr="00CA0D0A">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156B2794" w14:textId="77777777" w:rsidR="00480C3F" w:rsidRPr="00CA0D0A" w:rsidRDefault="00480C3F" w:rsidP="009F716A">
            <w:pPr>
              <w:autoSpaceDE w:val="0"/>
              <w:autoSpaceDN w:val="0"/>
              <w:spacing w:after="0" w:line="240" w:lineRule="auto"/>
              <w:jc w:val="center"/>
              <w:rPr>
                <w:rFonts w:ascii="Times New Roman" w:hAnsi="Times New Roman"/>
                <w:color w:val="000000" w:themeColor="text1"/>
                <w:sz w:val="24"/>
                <w:szCs w:val="24"/>
              </w:rPr>
            </w:pPr>
            <w:r w:rsidRPr="00CA0D0A">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4ADA2425" w14:textId="77777777" w:rsidR="00480C3F" w:rsidRPr="00CA0D0A" w:rsidRDefault="00480C3F" w:rsidP="009F716A">
            <w:pPr>
              <w:autoSpaceDE w:val="0"/>
              <w:autoSpaceDN w:val="0"/>
              <w:spacing w:after="0" w:line="240" w:lineRule="auto"/>
              <w:jc w:val="center"/>
              <w:rPr>
                <w:rFonts w:ascii="Times New Roman" w:hAnsi="Times New Roman"/>
                <w:color w:val="000000" w:themeColor="text1"/>
                <w:sz w:val="24"/>
                <w:szCs w:val="24"/>
              </w:rPr>
            </w:pPr>
            <w:r w:rsidRPr="00CA0D0A">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2DA96EF1" w14:textId="77777777" w:rsidR="00480C3F" w:rsidRPr="00CA0D0A" w:rsidRDefault="00480C3F" w:rsidP="009F716A">
            <w:pPr>
              <w:autoSpaceDE w:val="0"/>
              <w:autoSpaceDN w:val="0"/>
              <w:spacing w:after="0" w:line="240" w:lineRule="auto"/>
              <w:jc w:val="center"/>
              <w:rPr>
                <w:rFonts w:ascii="Times New Roman" w:hAnsi="Times New Roman"/>
                <w:color w:val="000000" w:themeColor="text1"/>
                <w:sz w:val="24"/>
                <w:szCs w:val="24"/>
              </w:rPr>
            </w:pPr>
            <w:r w:rsidRPr="00CA0D0A">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5811E2AD" w14:textId="77777777" w:rsidR="00480C3F" w:rsidRPr="00CA0D0A" w:rsidRDefault="00480C3F" w:rsidP="009F716A">
            <w:pPr>
              <w:autoSpaceDE w:val="0"/>
              <w:autoSpaceDN w:val="0"/>
              <w:spacing w:after="0" w:line="240" w:lineRule="auto"/>
              <w:ind w:left="-28" w:firstLine="28"/>
              <w:jc w:val="center"/>
              <w:rPr>
                <w:rFonts w:ascii="Times New Roman" w:hAnsi="Times New Roman"/>
                <w:color w:val="000000" w:themeColor="text1"/>
                <w:sz w:val="24"/>
                <w:szCs w:val="24"/>
              </w:rPr>
            </w:pPr>
            <w:r w:rsidRPr="00CA0D0A">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4131D97E" w14:textId="77777777" w:rsidR="00480C3F" w:rsidRPr="00CA0D0A" w:rsidRDefault="00480C3F" w:rsidP="009F716A">
            <w:pPr>
              <w:autoSpaceDE w:val="0"/>
              <w:autoSpaceDN w:val="0"/>
              <w:spacing w:after="0" w:line="240" w:lineRule="auto"/>
              <w:jc w:val="center"/>
              <w:rPr>
                <w:rFonts w:ascii="Times New Roman" w:hAnsi="Times New Roman"/>
                <w:color w:val="000000" w:themeColor="text1"/>
                <w:sz w:val="24"/>
                <w:szCs w:val="24"/>
              </w:rPr>
            </w:pPr>
            <w:r w:rsidRPr="00CA0D0A">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tcPr>
          <w:p w14:paraId="30719E07" w14:textId="77777777" w:rsidR="00480C3F" w:rsidRPr="00CA0D0A" w:rsidRDefault="00480C3F" w:rsidP="009F716A">
            <w:pPr>
              <w:autoSpaceDE w:val="0"/>
              <w:autoSpaceDN w:val="0"/>
              <w:spacing w:after="0" w:line="240" w:lineRule="auto"/>
              <w:jc w:val="center"/>
              <w:rPr>
                <w:rFonts w:ascii="Times New Roman" w:hAnsi="Times New Roman"/>
                <w:color w:val="000000" w:themeColor="text1"/>
                <w:sz w:val="24"/>
                <w:szCs w:val="24"/>
              </w:rPr>
            </w:pPr>
            <w:r w:rsidRPr="00CA0D0A">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tcPr>
          <w:p w14:paraId="11C83190" w14:textId="77777777" w:rsidR="00480C3F" w:rsidRPr="00CA0D0A" w:rsidRDefault="00480C3F" w:rsidP="009F716A">
            <w:pPr>
              <w:autoSpaceDE w:val="0"/>
              <w:autoSpaceDN w:val="0"/>
              <w:spacing w:after="0" w:line="240" w:lineRule="auto"/>
              <w:jc w:val="center"/>
              <w:rPr>
                <w:rFonts w:ascii="Times New Roman" w:hAnsi="Times New Roman"/>
                <w:color w:val="000000" w:themeColor="text1"/>
                <w:sz w:val="24"/>
                <w:szCs w:val="24"/>
              </w:rPr>
            </w:pPr>
            <w:r w:rsidRPr="00CA0D0A">
              <w:rPr>
                <w:rFonts w:ascii="Times New Roman" w:hAnsi="Times New Roman"/>
                <w:color w:val="000000" w:themeColor="text1"/>
                <w:sz w:val="24"/>
                <w:szCs w:val="24"/>
                <w:lang w:val="en-US"/>
              </w:rPr>
              <w:t>P</w:t>
            </w:r>
          </w:p>
        </w:tc>
      </w:tr>
    </w:tbl>
    <w:p w14:paraId="5D22CAF6" w14:textId="77777777" w:rsidR="00480C3F" w:rsidRPr="00CA0D0A" w:rsidRDefault="00480C3F" w:rsidP="00480C3F">
      <w:pPr>
        <w:spacing w:after="0" w:line="240" w:lineRule="auto"/>
        <w:jc w:val="center"/>
        <w:rPr>
          <w:rFonts w:ascii="Times New Roman" w:hAnsi="Times New Roman"/>
          <w:b/>
          <w:bCs/>
          <w:i/>
          <w:iCs/>
          <w:sz w:val="24"/>
          <w:szCs w:val="24"/>
        </w:rPr>
      </w:pPr>
    </w:p>
    <w:p w14:paraId="1AD120ED" w14:textId="77777777" w:rsidR="00480C3F" w:rsidRPr="00C75E7E" w:rsidRDefault="00480C3F" w:rsidP="00480C3F">
      <w:pPr>
        <w:spacing w:after="0" w:line="240" w:lineRule="auto"/>
        <w:jc w:val="center"/>
        <w:rPr>
          <w:rFonts w:ascii="Times New Roman" w:hAnsi="Times New Roman"/>
          <w:bCs/>
          <w:iCs/>
          <w:sz w:val="24"/>
          <w:szCs w:val="24"/>
        </w:rPr>
      </w:pPr>
    </w:p>
    <w:p w14:paraId="63E8EA9A" w14:textId="37772A4B" w:rsidR="00480C3F" w:rsidRPr="00C75E7E" w:rsidRDefault="00480C3F" w:rsidP="00480C3F">
      <w:pPr>
        <w:spacing w:after="0" w:line="240" w:lineRule="auto"/>
        <w:jc w:val="both"/>
        <w:rPr>
          <w:rFonts w:ascii="Times New Roman" w:hAnsi="Times New Roman"/>
          <w:bCs/>
          <w:iCs/>
          <w:sz w:val="24"/>
          <w:szCs w:val="24"/>
        </w:rPr>
      </w:pPr>
      <w:r w:rsidRPr="00C75E7E">
        <w:rPr>
          <w:rFonts w:ascii="Times New Roman" w:hAnsi="Times New Roman"/>
          <w:bCs/>
          <w:iCs/>
          <w:sz w:val="24"/>
          <w:szCs w:val="24"/>
        </w:rPr>
        <w:t xml:space="preserve">Изменения вносятся по решению </w:t>
      </w:r>
      <w:r w:rsidR="00C75E7E">
        <w:rPr>
          <w:rFonts w:ascii="Times New Roman" w:hAnsi="Times New Roman"/>
          <w:bCs/>
          <w:iCs/>
          <w:sz w:val="24"/>
          <w:szCs w:val="24"/>
        </w:rPr>
        <w:t xml:space="preserve">Президента – Председателя Правления </w:t>
      </w:r>
      <w:r w:rsidR="00C75E7E" w:rsidRPr="004827ED">
        <w:rPr>
          <w:rFonts w:ascii="Times New Roman" w:hAnsi="Times New Roman"/>
          <w:color w:val="000000" w:themeColor="text1"/>
          <w:sz w:val="24"/>
          <w:szCs w:val="24"/>
        </w:rPr>
        <w:t>Банка ВТБ (</w:t>
      </w:r>
      <w:r w:rsidR="00C75E7E" w:rsidRPr="004827ED">
        <w:rPr>
          <w:rFonts w:ascii="Times New Roman" w:hAnsi="Times New Roman"/>
          <w:sz w:val="24"/>
          <w:szCs w:val="24"/>
        </w:rPr>
        <w:t>публичное акционерное общество</w:t>
      </w:r>
      <w:r w:rsidR="00C75E7E" w:rsidRPr="004827ED">
        <w:rPr>
          <w:rFonts w:ascii="Times New Roman" w:hAnsi="Times New Roman"/>
          <w:color w:val="000000" w:themeColor="text1"/>
          <w:sz w:val="24"/>
          <w:szCs w:val="24"/>
        </w:rPr>
        <w:t>)</w:t>
      </w:r>
      <w:r w:rsidR="00C75E7E">
        <w:rPr>
          <w:rFonts w:ascii="Times New Roman" w:hAnsi="Times New Roman"/>
          <w:color w:val="000000" w:themeColor="text1"/>
          <w:sz w:val="24"/>
          <w:szCs w:val="24"/>
        </w:rPr>
        <w:t>,</w:t>
      </w:r>
      <w:r w:rsidRPr="00C75E7E">
        <w:rPr>
          <w:rFonts w:ascii="Times New Roman" w:hAnsi="Times New Roman"/>
          <w:bCs/>
          <w:iCs/>
          <w:sz w:val="24"/>
          <w:szCs w:val="24"/>
        </w:rPr>
        <w:t xml:space="preserve"> принятому «</w:t>
      </w:r>
      <w:r w:rsidR="00D16C81">
        <w:rPr>
          <w:rFonts w:ascii="Times New Roman" w:hAnsi="Times New Roman"/>
          <w:bCs/>
          <w:iCs/>
          <w:sz w:val="24"/>
          <w:szCs w:val="24"/>
        </w:rPr>
        <w:t>07</w:t>
      </w:r>
      <w:r w:rsidRPr="00C75E7E">
        <w:rPr>
          <w:rFonts w:ascii="Times New Roman" w:hAnsi="Times New Roman"/>
          <w:bCs/>
          <w:iCs/>
          <w:sz w:val="24"/>
          <w:szCs w:val="24"/>
        </w:rPr>
        <w:t>» июля 2020г.</w:t>
      </w:r>
      <w:r w:rsidR="00C75E7E">
        <w:rPr>
          <w:rFonts w:ascii="Times New Roman" w:hAnsi="Times New Roman"/>
          <w:bCs/>
          <w:iCs/>
          <w:sz w:val="24"/>
          <w:szCs w:val="24"/>
        </w:rPr>
        <w:t xml:space="preserve">, Приказ </w:t>
      </w:r>
      <w:r w:rsidR="00C75E7E">
        <w:rPr>
          <w:rFonts w:ascii="Times New Roman" w:hAnsi="Times New Roman"/>
          <w:color w:val="000000" w:themeColor="text1"/>
          <w:sz w:val="24"/>
          <w:szCs w:val="24"/>
        </w:rPr>
        <w:t>о внесении изменений в Решения о выпуске биржевых облигаций</w:t>
      </w:r>
      <w:r w:rsidR="00C75E7E">
        <w:rPr>
          <w:rFonts w:ascii="Times New Roman" w:hAnsi="Times New Roman"/>
          <w:bCs/>
          <w:iCs/>
          <w:sz w:val="24"/>
          <w:szCs w:val="24"/>
        </w:rPr>
        <w:t xml:space="preserve"> №</w:t>
      </w:r>
      <w:r w:rsidR="00D16C81">
        <w:rPr>
          <w:rFonts w:ascii="Times New Roman" w:hAnsi="Times New Roman"/>
          <w:bCs/>
          <w:iCs/>
          <w:sz w:val="24"/>
          <w:szCs w:val="24"/>
        </w:rPr>
        <w:t xml:space="preserve"> 1228</w:t>
      </w:r>
      <w:r w:rsidR="00C75E7E">
        <w:rPr>
          <w:rFonts w:ascii="Times New Roman" w:hAnsi="Times New Roman"/>
          <w:bCs/>
          <w:iCs/>
          <w:sz w:val="24"/>
          <w:szCs w:val="24"/>
        </w:rPr>
        <w:t xml:space="preserve"> </w:t>
      </w:r>
      <w:r w:rsidRPr="00C75E7E">
        <w:rPr>
          <w:rFonts w:ascii="Times New Roman" w:hAnsi="Times New Roman"/>
          <w:bCs/>
          <w:iCs/>
          <w:sz w:val="24"/>
          <w:szCs w:val="24"/>
        </w:rPr>
        <w:t>от «</w:t>
      </w:r>
      <w:r w:rsidR="00D16C81">
        <w:rPr>
          <w:rFonts w:ascii="Times New Roman" w:hAnsi="Times New Roman"/>
          <w:bCs/>
          <w:iCs/>
          <w:sz w:val="24"/>
          <w:szCs w:val="24"/>
        </w:rPr>
        <w:t>07</w:t>
      </w:r>
      <w:r w:rsidRPr="00C75E7E">
        <w:rPr>
          <w:rFonts w:ascii="Times New Roman" w:hAnsi="Times New Roman"/>
          <w:bCs/>
          <w:iCs/>
          <w:sz w:val="24"/>
          <w:szCs w:val="24"/>
        </w:rPr>
        <w:t>» июля 2020 г.</w:t>
      </w:r>
    </w:p>
    <w:p w14:paraId="4E576685" w14:textId="77777777" w:rsidR="00480C3F" w:rsidRPr="00CA0D0A" w:rsidRDefault="00480C3F" w:rsidP="00480C3F">
      <w:pPr>
        <w:spacing w:after="0" w:line="240" w:lineRule="auto"/>
        <w:jc w:val="center"/>
        <w:rPr>
          <w:rFonts w:ascii="Times New Roman" w:hAnsi="Times New Roman"/>
          <w:b/>
          <w:bCs/>
          <w:i/>
          <w:iCs/>
          <w:sz w:val="24"/>
          <w:szCs w:val="24"/>
        </w:rPr>
      </w:pPr>
    </w:p>
    <w:p w14:paraId="0A04DD0D" w14:textId="77777777" w:rsidR="00480C3F" w:rsidRPr="00CA0D0A" w:rsidRDefault="00480C3F" w:rsidP="00480C3F">
      <w:pPr>
        <w:spacing w:after="0" w:line="240" w:lineRule="auto"/>
        <w:jc w:val="center"/>
        <w:rPr>
          <w:rFonts w:ascii="Times New Roman" w:hAnsi="Times New Roman"/>
          <w:b/>
          <w:bCs/>
          <w:i/>
          <w:iCs/>
          <w:sz w:val="24"/>
          <w:szCs w:val="24"/>
        </w:rPr>
      </w:pPr>
    </w:p>
    <w:p w14:paraId="77A1024D" w14:textId="77777777" w:rsidR="00480C3F" w:rsidRPr="00CA0D0A" w:rsidRDefault="00480C3F" w:rsidP="00480C3F">
      <w:pPr>
        <w:spacing w:after="0" w:line="240" w:lineRule="auto"/>
        <w:jc w:val="center"/>
        <w:rPr>
          <w:rFonts w:ascii="Times New Roman" w:hAnsi="Times New Roman"/>
          <w:b/>
          <w:bCs/>
          <w:i/>
          <w:iCs/>
          <w:sz w:val="24"/>
          <w:szCs w:val="24"/>
        </w:rPr>
      </w:pPr>
    </w:p>
    <w:p w14:paraId="76E24838" w14:textId="77777777" w:rsidR="00480C3F" w:rsidRPr="00CA0D0A" w:rsidRDefault="00480C3F" w:rsidP="00480C3F">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CA0D0A">
        <w:rPr>
          <w:rFonts w:ascii="Times New Roman" w:hAnsi="Times New Roman"/>
          <w:color w:val="000000" w:themeColor="text1"/>
          <w:sz w:val="24"/>
          <w:szCs w:val="24"/>
        </w:rPr>
        <w:t xml:space="preserve">Место нахождения эмитента: </w:t>
      </w:r>
      <w:r w:rsidRPr="00CA0D0A">
        <w:rPr>
          <w:rFonts w:ascii="Times New Roman" w:hAnsi="Times New Roman"/>
          <w:b/>
          <w:bCs/>
          <w:i/>
          <w:iCs/>
          <w:color w:val="000000" w:themeColor="text1"/>
          <w:sz w:val="24"/>
          <w:szCs w:val="24"/>
        </w:rPr>
        <w:t xml:space="preserve">Российская Федерация, город Санкт-Петербург </w:t>
      </w:r>
    </w:p>
    <w:p w14:paraId="61F97D1C" w14:textId="77777777" w:rsidR="00480C3F" w:rsidRPr="00CA0D0A" w:rsidRDefault="00480C3F" w:rsidP="00480C3F">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3B41833F" w14:textId="77777777" w:rsidR="00480C3F" w:rsidRPr="00CA0D0A" w:rsidRDefault="00480C3F" w:rsidP="00480C3F">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480C3F" w:rsidRPr="00CA0D0A" w14:paraId="0C110179" w14:textId="77777777" w:rsidTr="009F716A">
        <w:tc>
          <w:tcPr>
            <w:tcW w:w="6282" w:type="dxa"/>
            <w:gridSpan w:val="7"/>
            <w:tcBorders>
              <w:top w:val="single" w:sz="4" w:space="0" w:color="auto"/>
              <w:left w:val="single" w:sz="4" w:space="0" w:color="auto"/>
              <w:right w:val="nil"/>
            </w:tcBorders>
            <w:vAlign w:val="bottom"/>
          </w:tcPr>
          <w:p w14:paraId="5B54ED30" w14:textId="77777777" w:rsidR="00480C3F" w:rsidRPr="00CA0D0A" w:rsidRDefault="00480C3F" w:rsidP="009F716A">
            <w:pPr>
              <w:spacing w:after="0" w:line="240" w:lineRule="auto"/>
              <w:ind w:left="142"/>
              <w:rPr>
                <w:rFonts w:ascii="Times New Roman" w:hAnsi="Times New Roman"/>
                <w:b/>
                <w:color w:val="000000"/>
                <w:sz w:val="20"/>
                <w:szCs w:val="20"/>
              </w:rPr>
            </w:pPr>
          </w:p>
          <w:p w14:paraId="641C3A74" w14:textId="77777777" w:rsidR="00480C3F" w:rsidRPr="00CA0D0A" w:rsidRDefault="00480C3F" w:rsidP="009F716A">
            <w:pPr>
              <w:spacing w:after="0" w:line="240" w:lineRule="auto"/>
              <w:ind w:left="142"/>
              <w:rPr>
                <w:rFonts w:ascii="Times New Roman" w:hAnsi="Times New Roman"/>
                <w:b/>
                <w:color w:val="000000"/>
              </w:rPr>
            </w:pPr>
            <w:r w:rsidRPr="00CA0D0A">
              <w:rPr>
                <w:rFonts w:ascii="Times New Roman" w:hAnsi="Times New Roman"/>
                <w:b/>
                <w:color w:val="000000"/>
              </w:rPr>
              <w:t>Начальник Управления казначейских операций</w:t>
            </w:r>
          </w:p>
          <w:p w14:paraId="29FB6330" w14:textId="77777777" w:rsidR="00480C3F" w:rsidRPr="00CA0D0A" w:rsidRDefault="00480C3F" w:rsidP="009F716A">
            <w:pPr>
              <w:spacing w:after="0" w:line="240" w:lineRule="auto"/>
              <w:ind w:left="142"/>
              <w:rPr>
                <w:rFonts w:ascii="Times New Roman" w:hAnsi="Times New Roman"/>
                <w:b/>
                <w:color w:val="000000"/>
              </w:rPr>
            </w:pPr>
            <w:r w:rsidRPr="00CA0D0A">
              <w:rPr>
                <w:rFonts w:ascii="Times New Roman" w:hAnsi="Times New Roman"/>
                <w:b/>
                <w:color w:val="000000"/>
              </w:rPr>
              <w:t>на открытых рынках Казначейства Финансового департамента - вице-президент, действующий на</w:t>
            </w:r>
          </w:p>
          <w:p w14:paraId="2C18E342" w14:textId="77777777" w:rsidR="00480C3F" w:rsidRPr="00CA0D0A" w:rsidRDefault="00480C3F" w:rsidP="009F716A">
            <w:pPr>
              <w:spacing w:after="0" w:line="240" w:lineRule="auto"/>
              <w:ind w:left="142"/>
              <w:rPr>
                <w:rFonts w:ascii="Times New Roman" w:hAnsi="Times New Roman"/>
                <w:b/>
                <w:color w:val="000000" w:themeColor="text1"/>
                <w:sz w:val="24"/>
              </w:rPr>
            </w:pPr>
            <w:r w:rsidRPr="00CA0D0A">
              <w:rPr>
                <w:rFonts w:ascii="Times New Roman" w:hAnsi="Times New Roman"/>
                <w:b/>
                <w:color w:val="000000"/>
              </w:rPr>
              <w:t xml:space="preserve">основании доверенности №350000/411-ДН от 14.02.2020 </w:t>
            </w:r>
          </w:p>
        </w:tc>
        <w:tc>
          <w:tcPr>
            <w:tcW w:w="77" w:type="dxa"/>
            <w:tcBorders>
              <w:top w:val="single" w:sz="4" w:space="0" w:color="auto"/>
              <w:left w:val="nil"/>
              <w:bottom w:val="nil"/>
              <w:right w:val="nil"/>
            </w:tcBorders>
            <w:vAlign w:val="bottom"/>
          </w:tcPr>
          <w:p w14:paraId="51D32501" w14:textId="77777777" w:rsidR="00480C3F" w:rsidRPr="00CA0D0A" w:rsidRDefault="00480C3F" w:rsidP="009F716A">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2C3F82E3" w14:textId="77777777" w:rsidR="00480C3F" w:rsidRPr="00CA0D0A" w:rsidRDefault="00480C3F" w:rsidP="009F716A">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1B8D0B0B" w14:textId="77777777" w:rsidR="00480C3F" w:rsidRPr="00CA0D0A" w:rsidRDefault="00480C3F" w:rsidP="009F716A">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0CED70E7" w14:textId="77777777" w:rsidR="00480C3F" w:rsidRPr="00CA0D0A" w:rsidRDefault="00480C3F" w:rsidP="009F716A">
            <w:pPr>
              <w:spacing w:after="0" w:line="240" w:lineRule="auto"/>
              <w:ind w:left="8"/>
              <w:rPr>
                <w:rFonts w:ascii="Times New Roman" w:hAnsi="Times New Roman"/>
                <w:b/>
                <w:color w:val="000000" w:themeColor="text1"/>
                <w:sz w:val="24"/>
              </w:rPr>
            </w:pPr>
            <w:r w:rsidRPr="00CA0D0A">
              <w:rPr>
                <w:rFonts w:ascii="Times New Roman" w:hAnsi="Times New Roman"/>
                <w:b/>
                <w:color w:val="000000" w:themeColor="text1"/>
                <w:sz w:val="24"/>
              </w:rPr>
              <w:t xml:space="preserve"> В.В. Томашевский</w:t>
            </w:r>
          </w:p>
        </w:tc>
      </w:tr>
      <w:tr w:rsidR="00480C3F" w:rsidRPr="00CA0D0A" w14:paraId="6732C777" w14:textId="77777777" w:rsidTr="009F716A">
        <w:tc>
          <w:tcPr>
            <w:tcW w:w="861" w:type="dxa"/>
            <w:tcBorders>
              <w:left w:val="single" w:sz="4" w:space="0" w:color="auto"/>
              <w:bottom w:val="single" w:sz="4" w:space="0" w:color="auto"/>
              <w:right w:val="nil"/>
            </w:tcBorders>
            <w:vAlign w:val="bottom"/>
          </w:tcPr>
          <w:p w14:paraId="0372313D" w14:textId="77777777" w:rsidR="00480C3F" w:rsidRPr="00CA0D0A" w:rsidRDefault="00480C3F" w:rsidP="009F716A">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4ED7A011" w14:textId="77777777" w:rsidR="00480C3F" w:rsidRPr="00CA0D0A" w:rsidRDefault="00480C3F" w:rsidP="009F716A">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41247AC7" w14:textId="77777777" w:rsidR="00480C3F" w:rsidRPr="00CA0D0A" w:rsidRDefault="00480C3F" w:rsidP="009F716A">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2F86EC86" w14:textId="77777777" w:rsidR="00480C3F" w:rsidRPr="00CA0D0A" w:rsidRDefault="00480C3F" w:rsidP="009F716A">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662CAE6A" w14:textId="77777777" w:rsidR="00480C3F" w:rsidRPr="00CA0D0A" w:rsidRDefault="00480C3F" w:rsidP="009F716A">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5B2BFB43" w14:textId="77777777" w:rsidR="00480C3F" w:rsidRPr="00CA0D0A" w:rsidRDefault="00480C3F" w:rsidP="009F716A">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153229D" w14:textId="77777777" w:rsidR="00480C3F" w:rsidRPr="00CA0D0A" w:rsidRDefault="00480C3F" w:rsidP="009F716A">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2D63C2BE" w14:textId="77777777" w:rsidR="00480C3F" w:rsidRPr="00CA0D0A" w:rsidRDefault="00480C3F" w:rsidP="009F716A">
            <w:pPr>
              <w:tabs>
                <w:tab w:val="left" w:pos="2098"/>
              </w:tabs>
              <w:spacing w:after="0" w:line="240" w:lineRule="auto"/>
              <w:ind w:left="57"/>
              <w:rPr>
                <w:rFonts w:ascii="Times New Roman" w:hAnsi="Times New Roman"/>
                <w:color w:val="000000" w:themeColor="text1"/>
                <w:sz w:val="20"/>
                <w:szCs w:val="20"/>
              </w:rPr>
            </w:pPr>
          </w:p>
        </w:tc>
      </w:tr>
    </w:tbl>
    <w:p w14:paraId="221B1545" w14:textId="77777777" w:rsidR="00480C3F" w:rsidRPr="00CA0D0A" w:rsidRDefault="00480C3F" w:rsidP="00480C3F">
      <w:pPr>
        <w:rPr>
          <w:rFonts w:ascii="Times New Roman" w:hAnsi="Times New Roman"/>
          <w:b/>
          <w:bCs/>
          <w:iCs/>
          <w:sz w:val="24"/>
          <w:szCs w:val="24"/>
        </w:rPr>
      </w:pPr>
      <w:r w:rsidRPr="00CA0D0A">
        <w:rPr>
          <w:rFonts w:ascii="Times New Roman" w:hAnsi="Times New Roman"/>
          <w:b/>
          <w:bCs/>
          <w:iCs/>
          <w:sz w:val="24"/>
          <w:szCs w:val="24"/>
        </w:rPr>
        <w:br w:type="page"/>
      </w:r>
    </w:p>
    <w:p w14:paraId="3716BD4D" w14:textId="63ADB3E0" w:rsidR="00407F0B" w:rsidRPr="005A3AE5" w:rsidRDefault="00407F0B" w:rsidP="00407F0B">
      <w:pPr>
        <w:pStyle w:val="21"/>
        <w:rPr>
          <w:b/>
          <w:sz w:val="22"/>
          <w:szCs w:val="22"/>
          <w:u w:val="single"/>
          <w:lang w:val="ru-RU"/>
        </w:rPr>
      </w:pPr>
      <w:r w:rsidRPr="005A3AE5">
        <w:rPr>
          <w:b/>
          <w:sz w:val="22"/>
          <w:szCs w:val="22"/>
          <w:u w:val="single"/>
          <w:lang w:val="ru-RU"/>
        </w:rPr>
        <w:lastRenderedPageBreak/>
        <w:t>1. Внести изменения на титульный лист Решения о выпуске ценных бумаг.</w:t>
      </w:r>
    </w:p>
    <w:p w14:paraId="7E691640" w14:textId="77777777" w:rsidR="00407F0B" w:rsidRPr="005A3AE5" w:rsidRDefault="00407F0B" w:rsidP="00407F0B">
      <w:pPr>
        <w:pStyle w:val="21"/>
        <w:rPr>
          <w:b/>
          <w:sz w:val="22"/>
          <w:szCs w:val="22"/>
          <w:u w:val="single"/>
          <w:lang w:val="ru-RU"/>
        </w:rPr>
      </w:pPr>
    </w:p>
    <w:p w14:paraId="208788F1" w14:textId="77777777" w:rsidR="00407F0B" w:rsidRPr="005A3AE5" w:rsidRDefault="00407F0B" w:rsidP="00407F0B">
      <w:pPr>
        <w:pStyle w:val="21"/>
        <w:jc w:val="left"/>
        <w:rPr>
          <w:b/>
          <w:sz w:val="22"/>
          <w:szCs w:val="22"/>
          <w:u w:val="single"/>
          <w:lang w:val="ru-RU"/>
        </w:rPr>
      </w:pPr>
      <w:r w:rsidRPr="005A3AE5">
        <w:rPr>
          <w:b/>
          <w:sz w:val="22"/>
          <w:szCs w:val="22"/>
          <w:u w:val="single"/>
          <w:lang w:val="ru-RU"/>
        </w:rPr>
        <w:t>Текст изменяемой редакции абзаца:</w:t>
      </w:r>
    </w:p>
    <w:p w14:paraId="67A3FF87" w14:textId="6A4F057D" w:rsidR="00407F0B" w:rsidRPr="005A3AE5" w:rsidRDefault="00407F0B" w:rsidP="00407F0B">
      <w:pPr>
        <w:autoSpaceDE w:val="0"/>
        <w:autoSpaceDN w:val="0"/>
        <w:spacing w:after="0" w:line="240" w:lineRule="auto"/>
        <w:rPr>
          <w:rFonts w:ascii="Times New Roman" w:hAnsi="Times New Roman"/>
          <w:b/>
          <w:bCs/>
          <w:i/>
          <w:iCs/>
        </w:rPr>
      </w:pPr>
      <w:r w:rsidRPr="005A3AE5">
        <w:rPr>
          <w:rFonts w:ascii="Times New Roman" w:hAnsi="Times New Roman"/>
          <w:b/>
          <w:bCs/>
          <w:i/>
          <w:iCs/>
        </w:rPr>
        <w:t>«биржевые облигации процентные дисконтные неконвертируемые бездокументарные с централизованным учетом прав серии Б-1-</w:t>
      </w:r>
      <w:r w:rsidR="00A327F7">
        <w:rPr>
          <w:rFonts w:ascii="Times New Roman" w:hAnsi="Times New Roman"/>
          <w:b/>
          <w:bCs/>
          <w:i/>
          <w:iCs/>
        </w:rPr>
        <w:t>9</w:t>
      </w:r>
      <w:r w:rsidR="00C864BC">
        <w:rPr>
          <w:rFonts w:ascii="Times New Roman" w:hAnsi="Times New Roman"/>
          <w:b/>
          <w:bCs/>
          <w:i/>
          <w:iCs/>
        </w:rPr>
        <w:t>0</w:t>
      </w:r>
      <w:r w:rsidRPr="005A3AE5">
        <w:rPr>
          <w:rFonts w:ascii="Times New Roman" w:hAnsi="Times New Roman"/>
          <w:b/>
          <w:bCs/>
          <w:i/>
          <w:iCs/>
        </w:rPr>
        <w:t xml:space="preserve"> номинальной стоимостью 1 000 (Одна тысяча) российских рублей каждая, со сроком погашения в 1820-й (Одна тысяча восемьсот двадцатый) день с даты начала размещения выпуска биржевых облигаций в рамках программы биржевых облигаций, размещаемые путем открытой подписки»</w:t>
      </w:r>
    </w:p>
    <w:p w14:paraId="0BF230B8" w14:textId="77777777" w:rsidR="00407F0B" w:rsidRPr="005A3AE5" w:rsidRDefault="00407F0B" w:rsidP="00407F0B">
      <w:pPr>
        <w:spacing w:after="0" w:line="240" w:lineRule="auto"/>
        <w:rPr>
          <w:rFonts w:ascii="Times New Roman" w:hAnsi="Times New Roman"/>
          <w:b/>
          <w:u w:val="single"/>
          <w:lang w:val="x-none" w:eastAsia="x-none"/>
        </w:rPr>
      </w:pPr>
    </w:p>
    <w:p w14:paraId="0834B611" w14:textId="269A63C5" w:rsidR="00407F0B" w:rsidRPr="005A3AE5" w:rsidRDefault="00407F0B" w:rsidP="00407F0B">
      <w:pPr>
        <w:spacing w:after="0" w:line="240" w:lineRule="auto"/>
        <w:rPr>
          <w:u w:val="single"/>
        </w:rPr>
      </w:pPr>
      <w:r w:rsidRPr="005A3AE5">
        <w:rPr>
          <w:rFonts w:ascii="Times New Roman" w:hAnsi="Times New Roman"/>
          <w:b/>
          <w:u w:val="single"/>
          <w:lang w:val="x-none" w:eastAsia="x-none"/>
        </w:rPr>
        <w:t xml:space="preserve">Текст новой редакции </w:t>
      </w:r>
      <w:r w:rsidRPr="005A3AE5">
        <w:rPr>
          <w:rFonts w:ascii="Times New Roman" w:hAnsi="Times New Roman"/>
          <w:b/>
          <w:u w:val="single"/>
          <w:lang w:eastAsia="x-none"/>
        </w:rPr>
        <w:t xml:space="preserve">абзаца </w:t>
      </w:r>
      <w:r w:rsidRPr="005A3AE5">
        <w:rPr>
          <w:rFonts w:ascii="Times New Roman" w:hAnsi="Times New Roman"/>
          <w:b/>
          <w:u w:val="single"/>
          <w:lang w:val="x-none" w:eastAsia="x-none"/>
        </w:rPr>
        <w:t>с изменениями:</w:t>
      </w:r>
    </w:p>
    <w:p w14:paraId="670531A3" w14:textId="5686C265" w:rsidR="00407F0B" w:rsidRPr="005A3AE5" w:rsidRDefault="00407F0B" w:rsidP="00407F0B">
      <w:pPr>
        <w:autoSpaceDE w:val="0"/>
        <w:autoSpaceDN w:val="0"/>
        <w:spacing w:after="0" w:line="240" w:lineRule="auto"/>
        <w:rPr>
          <w:rFonts w:ascii="Times New Roman" w:hAnsi="Times New Roman"/>
          <w:b/>
          <w:bCs/>
          <w:i/>
          <w:iCs/>
        </w:rPr>
      </w:pPr>
      <w:r w:rsidRPr="005A3AE5">
        <w:rPr>
          <w:rFonts w:ascii="Times New Roman" w:hAnsi="Times New Roman"/>
          <w:b/>
          <w:bCs/>
          <w:i/>
          <w:iCs/>
        </w:rPr>
        <w:t>«биржевые облигации процентные неконвертируемые бездокументарные с централизованным учетом прав серии Б-1-</w:t>
      </w:r>
      <w:r w:rsidR="00A327F7">
        <w:rPr>
          <w:rFonts w:ascii="Times New Roman" w:hAnsi="Times New Roman"/>
          <w:b/>
          <w:bCs/>
          <w:i/>
          <w:iCs/>
        </w:rPr>
        <w:t>9</w:t>
      </w:r>
      <w:r w:rsidR="00C864BC">
        <w:rPr>
          <w:rFonts w:ascii="Times New Roman" w:hAnsi="Times New Roman"/>
          <w:b/>
          <w:bCs/>
          <w:i/>
          <w:iCs/>
        </w:rPr>
        <w:t>0</w:t>
      </w:r>
      <w:r w:rsidRPr="005A3AE5">
        <w:rPr>
          <w:rFonts w:ascii="Times New Roman" w:hAnsi="Times New Roman"/>
          <w:b/>
          <w:bCs/>
          <w:i/>
          <w:iCs/>
        </w:rPr>
        <w:t xml:space="preserve"> номинальной стоимостью 1 000 (Одна тысяча) российских рублей каждая, со сроком погашения в 1820-й (Одна тысяча восемьсот двадцатый) день с даты начала размещения выпуска биржевых облигаций в рамках программы биржевых облигаций, размещаемые путем открытой подписки»</w:t>
      </w:r>
    </w:p>
    <w:p w14:paraId="057A5FB8" w14:textId="56528F75" w:rsidR="00407F0B" w:rsidRPr="005A3AE5" w:rsidRDefault="00407F0B" w:rsidP="00407F0B">
      <w:pPr>
        <w:autoSpaceDE w:val="0"/>
        <w:autoSpaceDN w:val="0"/>
        <w:spacing w:after="0" w:line="240" w:lineRule="auto"/>
        <w:rPr>
          <w:rFonts w:ascii="Times New Roman" w:hAnsi="Times New Roman"/>
          <w:b/>
          <w:bCs/>
          <w:i/>
          <w:iCs/>
        </w:rPr>
      </w:pPr>
    </w:p>
    <w:p w14:paraId="77A1E1F9" w14:textId="2F294506" w:rsidR="00543F0D" w:rsidRPr="005A3AE5" w:rsidRDefault="00543F0D" w:rsidP="005A3AE5">
      <w:pPr>
        <w:pStyle w:val="21"/>
        <w:rPr>
          <w:b/>
          <w:sz w:val="22"/>
          <w:szCs w:val="22"/>
          <w:u w:val="single"/>
          <w:lang w:val="ru-RU"/>
        </w:rPr>
      </w:pPr>
      <w:r w:rsidRPr="00EF34A0">
        <w:rPr>
          <w:b/>
          <w:bCs/>
          <w:i/>
          <w:iCs/>
          <w:sz w:val="22"/>
          <w:szCs w:val="22"/>
          <w:u w:val="single"/>
        </w:rPr>
        <w:t xml:space="preserve">2. </w:t>
      </w:r>
      <w:r w:rsidRPr="005A3AE5">
        <w:rPr>
          <w:b/>
          <w:sz w:val="22"/>
          <w:szCs w:val="22"/>
          <w:u w:val="single"/>
          <w:lang w:val="ru-RU"/>
        </w:rPr>
        <w:t xml:space="preserve">Внести изменения в </w:t>
      </w:r>
      <w:r w:rsidR="005A3AE5" w:rsidRPr="005A3AE5">
        <w:rPr>
          <w:b/>
          <w:sz w:val="22"/>
          <w:szCs w:val="22"/>
          <w:u w:val="single"/>
          <w:lang w:val="ru-RU"/>
        </w:rPr>
        <w:t xml:space="preserve">абзац </w:t>
      </w:r>
      <w:r w:rsidRPr="005A3AE5">
        <w:rPr>
          <w:b/>
          <w:sz w:val="22"/>
          <w:szCs w:val="22"/>
          <w:u w:val="single"/>
          <w:lang w:val="ru-RU"/>
        </w:rPr>
        <w:t>пункт</w:t>
      </w:r>
      <w:r w:rsidR="005A3AE5" w:rsidRPr="005A3AE5">
        <w:rPr>
          <w:b/>
          <w:sz w:val="22"/>
          <w:szCs w:val="22"/>
          <w:u w:val="single"/>
          <w:lang w:val="ru-RU"/>
        </w:rPr>
        <w:t>а</w:t>
      </w:r>
      <w:r w:rsidRPr="005A3AE5">
        <w:rPr>
          <w:b/>
          <w:sz w:val="22"/>
          <w:szCs w:val="22"/>
          <w:u w:val="single"/>
          <w:lang w:val="ru-RU"/>
        </w:rPr>
        <w:t xml:space="preserve"> 1</w:t>
      </w:r>
      <w:r w:rsidR="00721995" w:rsidRPr="005A3AE5">
        <w:rPr>
          <w:b/>
          <w:sz w:val="22"/>
          <w:szCs w:val="22"/>
          <w:u w:val="single"/>
          <w:lang w:val="ru-RU"/>
        </w:rPr>
        <w:t>. «</w:t>
      </w:r>
      <w:r w:rsidR="00721995" w:rsidRPr="005A3AE5">
        <w:rPr>
          <w:b/>
          <w:bCs/>
          <w:iCs/>
          <w:sz w:val="22"/>
          <w:szCs w:val="22"/>
          <w:u w:val="single"/>
        </w:rPr>
        <w:t>Вид, категория (тип), идентификационные признаки ценных бумаг</w:t>
      </w:r>
      <w:r w:rsidR="00721995" w:rsidRPr="005A3AE5">
        <w:rPr>
          <w:b/>
          <w:bCs/>
          <w:iCs/>
          <w:sz w:val="22"/>
          <w:szCs w:val="22"/>
          <w:u w:val="single"/>
          <w:lang w:val="ru-RU"/>
        </w:rPr>
        <w:t>» Решения о выпуске ценных бумаг</w:t>
      </w:r>
      <w:r w:rsidRPr="005A3AE5">
        <w:rPr>
          <w:b/>
          <w:sz w:val="22"/>
          <w:szCs w:val="22"/>
          <w:u w:val="single"/>
          <w:lang w:val="ru-RU"/>
        </w:rPr>
        <w:t>.</w:t>
      </w:r>
    </w:p>
    <w:p w14:paraId="34A1829A" w14:textId="7865D987" w:rsidR="00407F0B" w:rsidRPr="005A3AE5" w:rsidRDefault="00407F0B" w:rsidP="005A3AE5">
      <w:pPr>
        <w:autoSpaceDE w:val="0"/>
        <w:autoSpaceDN w:val="0"/>
        <w:spacing w:after="0" w:line="240" w:lineRule="auto"/>
        <w:rPr>
          <w:rFonts w:ascii="Times New Roman" w:hAnsi="Times New Roman"/>
          <w:b/>
          <w:bCs/>
          <w:i/>
          <w:iCs/>
        </w:rPr>
      </w:pPr>
    </w:p>
    <w:p w14:paraId="64481262" w14:textId="0D3B53D9" w:rsidR="00543F0D" w:rsidRPr="005A3AE5" w:rsidRDefault="00543F0D" w:rsidP="005A3AE5">
      <w:pPr>
        <w:pStyle w:val="21"/>
        <w:jc w:val="left"/>
        <w:rPr>
          <w:b/>
          <w:sz w:val="22"/>
          <w:szCs w:val="22"/>
          <w:u w:val="single"/>
          <w:lang w:val="ru-RU"/>
        </w:rPr>
      </w:pPr>
      <w:r w:rsidRPr="005A3AE5">
        <w:rPr>
          <w:b/>
          <w:sz w:val="22"/>
          <w:szCs w:val="22"/>
          <w:u w:val="single"/>
          <w:lang w:val="ru-RU"/>
        </w:rPr>
        <w:t xml:space="preserve">Текст изменяемой редакции </w:t>
      </w:r>
      <w:r w:rsidR="005A3AE5" w:rsidRPr="005A3AE5">
        <w:rPr>
          <w:b/>
          <w:sz w:val="22"/>
          <w:szCs w:val="22"/>
          <w:u w:val="single"/>
          <w:lang w:val="ru-RU"/>
        </w:rPr>
        <w:t>абзаца</w:t>
      </w:r>
      <w:r w:rsidRPr="005A3AE5">
        <w:rPr>
          <w:b/>
          <w:sz w:val="22"/>
          <w:szCs w:val="22"/>
          <w:u w:val="single"/>
          <w:lang w:val="ru-RU"/>
        </w:rPr>
        <w:t>:</w:t>
      </w:r>
    </w:p>
    <w:p w14:paraId="6CD02B0C" w14:textId="00506E51" w:rsidR="00B97F78" w:rsidRPr="005A3AE5" w:rsidRDefault="00543F0D" w:rsidP="005A3AE5">
      <w:pPr>
        <w:autoSpaceDE w:val="0"/>
        <w:autoSpaceDN w:val="0"/>
        <w:adjustRightInd w:val="0"/>
        <w:spacing w:after="0" w:line="240" w:lineRule="auto"/>
        <w:rPr>
          <w:rFonts w:ascii="Times New Roman" w:hAnsi="Times New Roman"/>
          <w:bCs/>
          <w:iCs/>
        </w:rPr>
      </w:pPr>
      <w:r w:rsidRPr="005A3AE5">
        <w:rPr>
          <w:rFonts w:ascii="Times New Roman" w:hAnsi="Times New Roman"/>
          <w:b/>
          <w:bCs/>
          <w:iCs/>
        </w:rPr>
        <w:t>«</w:t>
      </w:r>
      <w:r w:rsidR="00B97F78" w:rsidRPr="005A3AE5">
        <w:rPr>
          <w:rFonts w:ascii="Times New Roman" w:hAnsi="Times New Roman"/>
          <w:bCs/>
          <w:iCs/>
        </w:rPr>
        <w:t xml:space="preserve">Иные идентификационные признаки облигаций выпуска: </w:t>
      </w:r>
      <w:r w:rsidR="000513BB" w:rsidRPr="005A3AE5">
        <w:rPr>
          <w:rFonts w:ascii="Times New Roman" w:hAnsi="Times New Roman"/>
          <w:b/>
          <w:bCs/>
          <w:i/>
          <w:iCs/>
        </w:rPr>
        <w:t xml:space="preserve">биржевые облигации процентные </w:t>
      </w:r>
      <w:r w:rsidR="004B679B" w:rsidRPr="005A3AE5">
        <w:rPr>
          <w:rFonts w:ascii="Times New Roman" w:hAnsi="Times New Roman"/>
          <w:b/>
          <w:bCs/>
          <w:i/>
          <w:iCs/>
        </w:rPr>
        <w:t xml:space="preserve">дисконтные </w:t>
      </w:r>
      <w:r w:rsidR="000513BB" w:rsidRPr="005A3AE5">
        <w:rPr>
          <w:rFonts w:ascii="Times New Roman" w:hAnsi="Times New Roman"/>
          <w:b/>
          <w:bCs/>
          <w:i/>
          <w:iCs/>
        </w:rPr>
        <w:t>неконвертируемые бездокументарные с централизованным учетом прав, размещаемые в рамках Программы биржевых облигаций</w:t>
      </w:r>
      <w:r w:rsidR="000513BB" w:rsidRPr="005A3AE5">
        <w:rPr>
          <w:rFonts w:ascii="Times New Roman" w:hAnsi="Times New Roman"/>
          <w:bCs/>
          <w:iCs/>
        </w:rPr>
        <w:t>.</w:t>
      </w:r>
      <w:r w:rsidR="005A3AE5" w:rsidRPr="005A3AE5">
        <w:rPr>
          <w:rFonts w:ascii="Times New Roman" w:hAnsi="Times New Roman"/>
          <w:bCs/>
          <w:iCs/>
        </w:rPr>
        <w:t>»</w:t>
      </w:r>
    </w:p>
    <w:p w14:paraId="00D77F50" w14:textId="77777777" w:rsidR="005A3AE5" w:rsidRPr="005A3AE5" w:rsidRDefault="005A3AE5" w:rsidP="005A3AE5">
      <w:pPr>
        <w:spacing w:after="0" w:line="240" w:lineRule="auto"/>
        <w:rPr>
          <w:rFonts w:ascii="Times New Roman" w:hAnsi="Times New Roman"/>
          <w:b/>
          <w:u w:val="single"/>
          <w:lang w:val="x-none" w:eastAsia="x-none"/>
        </w:rPr>
      </w:pPr>
    </w:p>
    <w:p w14:paraId="5C3EF628" w14:textId="7B798B07" w:rsidR="00543F0D" w:rsidRPr="005A3AE5" w:rsidRDefault="00543F0D" w:rsidP="005A3AE5">
      <w:pPr>
        <w:spacing w:after="0" w:line="240" w:lineRule="auto"/>
        <w:rPr>
          <w:u w:val="single"/>
        </w:rPr>
      </w:pPr>
      <w:r w:rsidRPr="005A3AE5">
        <w:rPr>
          <w:rFonts w:ascii="Times New Roman" w:hAnsi="Times New Roman"/>
          <w:b/>
          <w:u w:val="single"/>
          <w:lang w:val="x-none" w:eastAsia="x-none"/>
        </w:rPr>
        <w:t xml:space="preserve">Текст новой редакции </w:t>
      </w:r>
      <w:r w:rsidRPr="005A3AE5">
        <w:rPr>
          <w:rFonts w:ascii="Times New Roman" w:hAnsi="Times New Roman"/>
          <w:b/>
          <w:u w:val="single"/>
          <w:lang w:eastAsia="x-none"/>
        </w:rPr>
        <w:t xml:space="preserve">абзаца </w:t>
      </w:r>
      <w:r w:rsidRPr="005A3AE5">
        <w:rPr>
          <w:rFonts w:ascii="Times New Roman" w:hAnsi="Times New Roman"/>
          <w:b/>
          <w:u w:val="single"/>
          <w:lang w:val="x-none" w:eastAsia="x-none"/>
        </w:rPr>
        <w:t>с изменениями:</w:t>
      </w:r>
    </w:p>
    <w:p w14:paraId="0CD02155" w14:textId="1E43C3D3" w:rsidR="00543F0D" w:rsidRPr="005A3AE5" w:rsidRDefault="00543F0D" w:rsidP="005A3AE5">
      <w:pPr>
        <w:autoSpaceDE w:val="0"/>
        <w:autoSpaceDN w:val="0"/>
        <w:adjustRightInd w:val="0"/>
        <w:spacing w:after="0" w:line="240" w:lineRule="auto"/>
        <w:rPr>
          <w:rFonts w:ascii="Times New Roman" w:hAnsi="Times New Roman"/>
          <w:bCs/>
          <w:iCs/>
        </w:rPr>
      </w:pPr>
      <w:r w:rsidRPr="005A3AE5">
        <w:rPr>
          <w:rFonts w:ascii="Times New Roman" w:hAnsi="Times New Roman"/>
          <w:b/>
          <w:bCs/>
          <w:i/>
          <w:iCs/>
        </w:rPr>
        <w:t>«</w:t>
      </w:r>
      <w:r w:rsidRPr="005A3AE5">
        <w:rPr>
          <w:rFonts w:ascii="Times New Roman" w:hAnsi="Times New Roman"/>
          <w:bCs/>
          <w:iCs/>
        </w:rPr>
        <w:t xml:space="preserve">Иные идентификационные признаки облигаций выпуска: </w:t>
      </w:r>
      <w:r w:rsidRPr="005A3AE5">
        <w:rPr>
          <w:rFonts w:ascii="Times New Roman" w:hAnsi="Times New Roman"/>
          <w:b/>
          <w:bCs/>
          <w:i/>
          <w:iCs/>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Pr="005A3AE5">
        <w:rPr>
          <w:rFonts w:ascii="Times New Roman" w:hAnsi="Times New Roman"/>
          <w:bCs/>
          <w:iCs/>
        </w:rPr>
        <w:t>.</w:t>
      </w:r>
      <w:r w:rsidR="005A3AE5" w:rsidRPr="005A3AE5">
        <w:rPr>
          <w:rFonts w:ascii="Times New Roman" w:hAnsi="Times New Roman"/>
          <w:bCs/>
          <w:iCs/>
        </w:rPr>
        <w:t>»</w:t>
      </w:r>
    </w:p>
    <w:p w14:paraId="5EA446E4" w14:textId="77777777" w:rsidR="005A3AE5" w:rsidRPr="005A3AE5" w:rsidRDefault="005A3AE5" w:rsidP="005A3AE5">
      <w:pPr>
        <w:autoSpaceDE w:val="0"/>
        <w:autoSpaceDN w:val="0"/>
        <w:adjustRightInd w:val="0"/>
        <w:spacing w:after="0" w:line="240" w:lineRule="auto"/>
        <w:rPr>
          <w:rFonts w:ascii="Times New Roman" w:hAnsi="Times New Roman"/>
          <w:b/>
          <w:u w:val="single"/>
        </w:rPr>
      </w:pPr>
    </w:p>
    <w:p w14:paraId="146F24A5" w14:textId="0FE1BFA0" w:rsidR="00721995" w:rsidRPr="005A3AE5" w:rsidRDefault="00721995" w:rsidP="005A3AE5">
      <w:pPr>
        <w:autoSpaceDE w:val="0"/>
        <w:autoSpaceDN w:val="0"/>
        <w:adjustRightInd w:val="0"/>
        <w:spacing w:after="0" w:line="240" w:lineRule="auto"/>
        <w:rPr>
          <w:rFonts w:ascii="Times New Roman" w:hAnsi="Times New Roman"/>
          <w:b/>
          <w:u w:val="single"/>
        </w:rPr>
      </w:pPr>
      <w:r w:rsidRPr="005A3AE5">
        <w:rPr>
          <w:rFonts w:ascii="Times New Roman" w:hAnsi="Times New Roman"/>
          <w:b/>
          <w:u w:val="single"/>
        </w:rPr>
        <w:t>3. Внести изменения в пункт 5.4. «Порядок определения дохода, выплачиваемого по каждой облигации» Решения о выпуске ценных бумаг.</w:t>
      </w:r>
    </w:p>
    <w:p w14:paraId="52AFFAA3" w14:textId="77777777" w:rsidR="0095040D" w:rsidRPr="005A3AE5" w:rsidRDefault="0095040D" w:rsidP="005A3AE5">
      <w:pPr>
        <w:pStyle w:val="21"/>
        <w:jc w:val="left"/>
        <w:rPr>
          <w:b/>
          <w:sz w:val="22"/>
          <w:szCs w:val="22"/>
          <w:u w:val="single"/>
          <w:lang w:val="ru-RU"/>
        </w:rPr>
      </w:pPr>
    </w:p>
    <w:p w14:paraId="5D4C70ED" w14:textId="224F26E2" w:rsidR="0095040D" w:rsidRPr="005A3AE5" w:rsidRDefault="0095040D" w:rsidP="005A3AE5">
      <w:pPr>
        <w:pStyle w:val="21"/>
        <w:jc w:val="left"/>
        <w:rPr>
          <w:b/>
          <w:sz w:val="22"/>
          <w:szCs w:val="22"/>
          <w:u w:val="single"/>
          <w:lang w:val="ru-RU"/>
        </w:rPr>
      </w:pPr>
      <w:r w:rsidRPr="005A3AE5">
        <w:rPr>
          <w:b/>
          <w:sz w:val="22"/>
          <w:szCs w:val="22"/>
          <w:u w:val="single"/>
          <w:lang w:val="ru-RU"/>
        </w:rPr>
        <w:t xml:space="preserve">Текст изменяемой редакции </w:t>
      </w:r>
      <w:r w:rsidR="007E0DF1">
        <w:rPr>
          <w:b/>
          <w:sz w:val="22"/>
          <w:szCs w:val="22"/>
          <w:u w:val="single"/>
          <w:lang w:val="ru-RU"/>
        </w:rPr>
        <w:t>пункта 5.4.</w:t>
      </w:r>
      <w:r w:rsidRPr="005A3AE5">
        <w:rPr>
          <w:b/>
          <w:sz w:val="22"/>
          <w:szCs w:val="22"/>
          <w:u w:val="single"/>
          <w:lang w:val="ru-RU"/>
        </w:rPr>
        <w:t>:</w:t>
      </w:r>
    </w:p>
    <w:p w14:paraId="4F88D850" w14:textId="4175F19C" w:rsidR="007E0DF1" w:rsidRPr="0085492C" w:rsidRDefault="004F62F6" w:rsidP="007E0DF1">
      <w:pPr>
        <w:autoSpaceDE w:val="0"/>
        <w:autoSpaceDN w:val="0"/>
        <w:adjustRightInd w:val="0"/>
        <w:spacing w:before="120" w:after="120" w:line="240" w:lineRule="auto"/>
        <w:ind w:firstLine="540"/>
        <w:jc w:val="both"/>
        <w:rPr>
          <w:rFonts w:ascii="Times New Roman" w:hAnsi="Times New Roman"/>
          <w:b/>
          <w:bCs/>
          <w:i/>
          <w:iCs/>
          <w:sz w:val="24"/>
          <w:szCs w:val="24"/>
        </w:rPr>
      </w:pPr>
      <w:r>
        <w:rPr>
          <w:rFonts w:ascii="Times New Roman" w:hAnsi="Times New Roman"/>
          <w:b/>
          <w:bCs/>
          <w:i/>
          <w:iCs/>
          <w:sz w:val="24"/>
          <w:szCs w:val="24"/>
        </w:rPr>
        <w:t>«</w:t>
      </w:r>
      <w:r w:rsidR="007E0DF1" w:rsidRPr="00F80588">
        <w:rPr>
          <w:rFonts w:ascii="Times New Roman" w:hAnsi="Times New Roman"/>
          <w:b/>
          <w:bCs/>
          <w:i/>
          <w:iCs/>
          <w:sz w:val="24"/>
          <w:szCs w:val="24"/>
        </w:rPr>
        <w:t>5</w:t>
      </w:r>
      <w:r w:rsidR="007E0DF1" w:rsidRPr="0085492C">
        <w:rPr>
          <w:rFonts w:ascii="Times New Roman" w:hAnsi="Times New Roman"/>
          <w:b/>
          <w:bCs/>
          <w:i/>
          <w:iCs/>
          <w:sz w:val="24"/>
          <w:szCs w:val="24"/>
        </w:rPr>
        <w:t>.</w:t>
      </w:r>
      <w:r w:rsidR="007E0DF1" w:rsidRPr="00F80588">
        <w:rPr>
          <w:rFonts w:ascii="Times New Roman" w:hAnsi="Times New Roman"/>
          <w:b/>
          <w:bCs/>
          <w:i/>
          <w:iCs/>
          <w:sz w:val="24"/>
          <w:szCs w:val="24"/>
        </w:rPr>
        <w:t>4</w:t>
      </w:r>
      <w:r w:rsidR="007E0DF1" w:rsidRPr="0085492C">
        <w:rPr>
          <w:rFonts w:ascii="Times New Roman" w:hAnsi="Times New Roman"/>
          <w:b/>
          <w:bCs/>
          <w:i/>
          <w:iCs/>
          <w:sz w:val="24"/>
          <w:szCs w:val="24"/>
        </w:rPr>
        <w:t>. Порядок определения дохода, выплачиваемого по каждой облигации</w:t>
      </w:r>
    </w:p>
    <w:p w14:paraId="4FDF57F8" w14:textId="77777777" w:rsidR="007E0DF1" w:rsidRPr="0085492C" w:rsidRDefault="007E0DF1" w:rsidP="007E0DF1">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Биржевые облигации выпуска предусматривают получение дисконта, купонного дохода и дополнительного дохода.</w:t>
      </w:r>
    </w:p>
    <w:p w14:paraId="463E95F1" w14:textId="77777777" w:rsidR="007E0DF1" w:rsidRPr="0085492C" w:rsidRDefault="007E0DF1" w:rsidP="007E0DF1">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А) Купонный доход</w:t>
      </w:r>
    </w:p>
    <w:p w14:paraId="6A0B1803" w14:textId="77777777" w:rsidR="007E0DF1" w:rsidRPr="0085492C" w:rsidRDefault="007E0DF1" w:rsidP="007E0DF1">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Купонным доходом по Биржевым облигациям является сумма купонных доходов, начисляемых за каждый купонный период в виде процентов от непогашенной части номинальной стоимости Биржевых облигаций и выплачиваемых в дату окончания соответствующего купонного периода.</w:t>
      </w:r>
    </w:p>
    <w:p w14:paraId="46A526A6" w14:textId="77777777" w:rsidR="007E0DF1" w:rsidRPr="0085492C" w:rsidRDefault="007E0DF1" w:rsidP="007E0DF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Pr="00B61BE1">
        <w:rPr>
          <w:rFonts w:ascii="Times New Roman" w:hAnsi="Times New Roman"/>
          <w:bCs/>
          <w:iCs/>
          <w:sz w:val="24"/>
          <w:szCs w:val="24"/>
        </w:rPr>
        <w:t>10.</w:t>
      </w:r>
    </w:p>
    <w:p w14:paraId="48C875F0" w14:textId="77777777" w:rsidR="007E0DF1" w:rsidRPr="0085492C" w:rsidRDefault="007E0DF1" w:rsidP="007E0DF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Длительность каждого из купонных периодов:</w:t>
      </w:r>
      <w:r w:rsidRPr="0085492C">
        <w:rPr>
          <w:rFonts w:ascii="Times New Roman" w:hAnsi="Times New Roman"/>
          <w:bCs/>
          <w:iCs/>
          <w:sz w:val="24"/>
          <w:szCs w:val="24"/>
        </w:rPr>
        <w:t xml:space="preserve"> </w:t>
      </w:r>
      <w:r w:rsidRPr="00B61BE1">
        <w:rPr>
          <w:rFonts w:ascii="Times New Roman" w:hAnsi="Times New Roman"/>
          <w:bCs/>
          <w:iCs/>
          <w:sz w:val="24"/>
          <w:szCs w:val="24"/>
        </w:rPr>
        <w:t>182 (Сто восемьдесят два) дня</w:t>
      </w:r>
      <w:r w:rsidRPr="0085492C">
        <w:rPr>
          <w:rFonts w:ascii="Times New Roman" w:hAnsi="Times New Roman"/>
          <w:bCs/>
          <w:iCs/>
          <w:sz w:val="24"/>
          <w:szCs w:val="24"/>
        </w:rPr>
        <w:t>.</w:t>
      </w:r>
    </w:p>
    <w:p w14:paraId="4D61448A" w14:textId="77777777" w:rsidR="007E0DF1" w:rsidRPr="0085492C" w:rsidRDefault="007E0DF1" w:rsidP="007E0DF1">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9"/>
        <w:gridCol w:w="4181"/>
        <w:gridCol w:w="4102"/>
      </w:tblGrid>
      <w:tr w:rsidR="007E0DF1" w:rsidRPr="0085492C" w14:paraId="7F45E93C" w14:textId="77777777" w:rsidTr="009F716A">
        <w:trPr>
          <w:tblHeader/>
        </w:trPr>
        <w:tc>
          <w:tcPr>
            <w:tcW w:w="822" w:type="pct"/>
            <w:vMerge w:val="restart"/>
            <w:shd w:val="clear" w:color="auto" w:fill="auto"/>
          </w:tcPr>
          <w:p w14:paraId="278F3F7F" w14:textId="77777777" w:rsidR="007E0DF1" w:rsidRPr="0085492C" w:rsidRDefault="007E0DF1" w:rsidP="009F716A">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Порядковый номер купонного периода</w:t>
            </w:r>
          </w:p>
        </w:tc>
        <w:tc>
          <w:tcPr>
            <w:tcW w:w="4178" w:type="pct"/>
            <w:gridSpan w:val="2"/>
            <w:shd w:val="clear" w:color="auto" w:fill="auto"/>
          </w:tcPr>
          <w:p w14:paraId="3D83AB0D" w14:textId="77777777" w:rsidR="007E0DF1" w:rsidRPr="0085492C" w:rsidRDefault="007E0DF1" w:rsidP="009F716A">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Продолжительность купонного периода</w:t>
            </w:r>
          </w:p>
        </w:tc>
      </w:tr>
      <w:tr w:rsidR="007E0DF1" w:rsidRPr="0085492C" w14:paraId="04FCE4B7" w14:textId="77777777" w:rsidTr="009F716A">
        <w:trPr>
          <w:tblHeader/>
        </w:trPr>
        <w:tc>
          <w:tcPr>
            <w:tcW w:w="822" w:type="pct"/>
            <w:vMerge/>
            <w:shd w:val="clear" w:color="auto" w:fill="auto"/>
          </w:tcPr>
          <w:p w14:paraId="3811A8FF" w14:textId="77777777" w:rsidR="007E0DF1" w:rsidRPr="0085492C" w:rsidRDefault="007E0DF1" w:rsidP="009F716A">
            <w:pPr>
              <w:adjustRightInd w:val="0"/>
              <w:spacing w:before="120" w:after="120"/>
              <w:jc w:val="center"/>
              <w:rPr>
                <w:rFonts w:ascii="Times New Roman" w:hAnsi="Times New Roman"/>
                <w:b/>
                <w:sz w:val="24"/>
                <w:szCs w:val="24"/>
              </w:rPr>
            </w:pPr>
          </w:p>
        </w:tc>
        <w:tc>
          <w:tcPr>
            <w:tcW w:w="2109" w:type="pct"/>
            <w:shd w:val="clear" w:color="auto" w:fill="auto"/>
          </w:tcPr>
          <w:p w14:paraId="188CFE67" w14:textId="77777777" w:rsidR="007E0DF1" w:rsidRPr="0085492C" w:rsidRDefault="007E0DF1" w:rsidP="009F716A">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начала</w:t>
            </w:r>
            <w:r w:rsidRPr="0085492C">
              <w:t xml:space="preserve"> </w:t>
            </w:r>
            <w:r w:rsidRPr="0085492C">
              <w:rPr>
                <w:rFonts w:ascii="Times New Roman" w:hAnsi="Times New Roman"/>
                <w:b/>
                <w:sz w:val="24"/>
                <w:szCs w:val="24"/>
              </w:rPr>
              <w:t>купонного периода</w:t>
            </w:r>
          </w:p>
        </w:tc>
        <w:tc>
          <w:tcPr>
            <w:tcW w:w="2069" w:type="pct"/>
            <w:shd w:val="clear" w:color="auto" w:fill="auto"/>
          </w:tcPr>
          <w:p w14:paraId="74087EFF" w14:textId="77777777" w:rsidR="007E0DF1" w:rsidRPr="0085492C" w:rsidRDefault="007E0DF1" w:rsidP="009F716A">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окончания</w:t>
            </w:r>
            <w:r w:rsidRPr="0085492C">
              <w:t xml:space="preserve"> </w:t>
            </w:r>
            <w:r w:rsidRPr="0085492C">
              <w:rPr>
                <w:rFonts w:ascii="Times New Roman" w:hAnsi="Times New Roman"/>
                <w:b/>
                <w:sz w:val="24"/>
                <w:szCs w:val="24"/>
              </w:rPr>
              <w:t>купонного периода</w:t>
            </w:r>
          </w:p>
        </w:tc>
      </w:tr>
      <w:tr w:rsidR="007E0DF1" w:rsidRPr="0085492C" w14:paraId="57F6A69C" w14:textId="77777777" w:rsidTr="009F716A">
        <w:tc>
          <w:tcPr>
            <w:tcW w:w="822" w:type="pct"/>
            <w:shd w:val="clear" w:color="auto" w:fill="auto"/>
          </w:tcPr>
          <w:p w14:paraId="74DEFF7E" w14:textId="77777777" w:rsidR="007E0DF1" w:rsidRPr="0085492C" w:rsidRDefault="007E0DF1" w:rsidP="007E0DF1">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9FC7BC3" w14:textId="77777777" w:rsidR="007E0DF1" w:rsidRPr="0085492C" w:rsidRDefault="007E0DF1"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5624AC66" w14:textId="77777777" w:rsidR="007E0DF1" w:rsidRPr="0085492C" w:rsidRDefault="007E0DF1"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первого купонного периода является </w:t>
            </w:r>
            <w:r w:rsidRPr="00F80588">
              <w:rPr>
                <w:rFonts w:ascii="Times New Roman" w:hAnsi="Times New Roman"/>
                <w:sz w:val="24"/>
                <w:szCs w:val="24"/>
              </w:rPr>
              <w:t>182-й (Сто восемьдесят второй) день</w:t>
            </w:r>
            <w:r w:rsidRPr="0085492C">
              <w:rPr>
                <w:rFonts w:ascii="Times New Roman" w:hAnsi="Times New Roman"/>
                <w:sz w:val="24"/>
                <w:szCs w:val="24"/>
              </w:rPr>
              <w:t xml:space="preserve"> с даты </w:t>
            </w:r>
            <w:r w:rsidRPr="0085492C">
              <w:rPr>
                <w:rFonts w:ascii="Times New Roman" w:hAnsi="Times New Roman"/>
                <w:sz w:val="24"/>
                <w:szCs w:val="24"/>
              </w:rPr>
              <w:lastRenderedPageBreak/>
              <w:t>начала размещения Биржевых облигаций.</w:t>
            </w:r>
          </w:p>
        </w:tc>
      </w:tr>
      <w:tr w:rsidR="007E0DF1" w:rsidRPr="0085492C" w14:paraId="1C70D1AA" w14:textId="77777777" w:rsidTr="009F716A">
        <w:tc>
          <w:tcPr>
            <w:tcW w:w="822" w:type="pct"/>
            <w:shd w:val="clear" w:color="auto" w:fill="auto"/>
          </w:tcPr>
          <w:p w14:paraId="2C629B8B" w14:textId="77777777" w:rsidR="007E0DF1" w:rsidRPr="0085492C" w:rsidRDefault="007E0DF1" w:rsidP="007E0DF1">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5DF5FA69" w14:textId="77777777" w:rsidR="007E0DF1" w:rsidRPr="0085492C" w:rsidRDefault="007E0DF1"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второго купонного периода является </w:t>
            </w:r>
            <w:r w:rsidRPr="00F80588">
              <w:rPr>
                <w:rFonts w:ascii="Times New Roman" w:hAnsi="Times New Roman"/>
                <w:sz w:val="24"/>
                <w:szCs w:val="24"/>
              </w:rPr>
              <w:t>182-й (Сто восемьдесят второй)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409482F5" w14:textId="77777777" w:rsidR="007E0DF1" w:rsidRPr="0085492C" w:rsidRDefault="007E0DF1"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второго купонного периода является </w:t>
            </w:r>
            <w:r w:rsidRPr="00F80588">
              <w:rPr>
                <w:rFonts w:ascii="Times New Roman" w:hAnsi="Times New Roman"/>
                <w:sz w:val="24"/>
                <w:szCs w:val="24"/>
              </w:rPr>
              <w:t>364-й (Триста шестьдесят четвертый) день</w:t>
            </w:r>
            <w:r w:rsidRPr="0085492C">
              <w:rPr>
                <w:rFonts w:ascii="Times New Roman" w:hAnsi="Times New Roman"/>
                <w:sz w:val="24"/>
                <w:szCs w:val="24"/>
              </w:rPr>
              <w:t xml:space="preserve"> с даты начала размещения Биржевых облигаций.</w:t>
            </w:r>
          </w:p>
        </w:tc>
      </w:tr>
      <w:tr w:rsidR="007E0DF1" w:rsidRPr="0085492C" w14:paraId="1C335F9F" w14:textId="77777777" w:rsidTr="009F716A">
        <w:tc>
          <w:tcPr>
            <w:tcW w:w="822" w:type="pct"/>
            <w:shd w:val="clear" w:color="auto" w:fill="auto"/>
          </w:tcPr>
          <w:p w14:paraId="2F282660" w14:textId="77777777" w:rsidR="007E0DF1" w:rsidRPr="0085492C" w:rsidRDefault="007E0DF1" w:rsidP="007E0DF1">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254EC85" w14:textId="77777777" w:rsidR="007E0DF1" w:rsidRPr="0085492C" w:rsidRDefault="007E0DF1"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третьего купонного периода является </w:t>
            </w:r>
            <w:r w:rsidRPr="00F80588">
              <w:rPr>
                <w:rFonts w:ascii="Times New Roman" w:hAnsi="Times New Roman"/>
                <w:sz w:val="24"/>
                <w:szCs w:val="24"/>
              </w:rPr>
              <w:t>364-й (Триста шестьдесят четвертый)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7F027444" w14:textId="77777777" w:rsidR="007E0DF1" w:rsidRPr="0085492C" w:rsidRDefault="007E0DF1"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третьего купонного периода является </w:t>
            </w:r>
            <w:r w:rsidRPr="00F80588">
              <w:rPr>
                <w:rFonts w:ascii="Times New Roman" w:hAnsi="Times New Roman"/>
                <w:sz w:val="24"/>
                <w:szCs w:val="24"/>
              </w:rPr>
              <w:t>546-й (Пятьсот сорок шестой) день</w:t>
            </w:r>
            <w:r w:rsidRPr="0085492C">
              <w:rPr>
                <w:rFonts w:ascii="Times New Roman" w:hAnsi="Times New Roman"/>
                <w:sz w:val="24"/>
                <w:szCs w:val="24"/>
              </w:rPr>
              <w:t xml:space="preserve"> с даты начала размещения Биржевых облигаций.</w:t>
            </w:r>
          </w:p>
        </w:tc>
      </w:tr>
      <w:tr w:rsidR="007E0DF1" w:rsidRPr="0085492C" w14:paraId="58DCA604" w14:textId="77777777" w:rsidTr="009F716A">
        <w:tc>
          <w:tcPr>
            <w:tcW w:w="822" w:type="pct"/>
            <w:shd w:val="clear" w:color="auto" w:fill="auto"/>
          </w:tcPr>
          <w:p w14:paraId="79E8279B" w14:textId="77777777" w:rsidR="007E0DF1" w:rsidRPr="0085492C" w:rsidRDefault="007E0DF1" w:rsidP="007E0DF1">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5A446523" w14:textId="77777777" w:rsidR="007E0DF1" w:rsidRPr="0085492C" w:rsidRDefault="007E0DF1"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четвертого купонного периода является </w:t>
            </w:r>
            <w:r w:rsidRPr="00F80588">
              <w:rPr>
                <w:rFonts w:ascii="Times New Roman" w:hAnsi="Times New Roman"/>
                <w:sz w:val="24"/>
                <w:szCs w:val="24"/>
              </w:rPr>
              <w:t>546-й (Пятьсот сорок шестой)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CE8C510" w14:textId="77777777" w:rsidR="007E0DF1" w:rsidRPr="0085492C" w:rsidRDefault="007E0DF1"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четвертого купонного периода является </w:t>
            </w:r>
            <w:r w:rsidRPr="00F80588">
              <w:rPr>
                <w:rFonts w:ascii="Times New Roman" w:hAnsi="Times New Roman"/>
                <w:sz w:val="24"/>
                <w:szCs w:val="24"/>
              </w:rPr>
              <w:t>728-й (Семьсот двадцать восьмой) день</w:t>
            </w:r>
            <w:r w:rsidRPr="0085492C">
              <w:rPr>
                <w:rFonts w:ascii="Times New Roman" w:hAnsi="Times New Roman"/>
                <w:sz w:val="24"/>
                <w:szCs w:val="24"/>
              </w:rPr>
              <w:t xml:space="preserve"> с даты начала размещения Биржевых облигаций.</w:t>
            </w:r>
          </w:p>
        </w:tc>
      </w:tr>
      <w:tr w:rsidR="007E0DF1" w:rsidRPr="0085492C" w14:paraId="596F2727" w14:textId="77777777" w:rsidTr="009F716A">
        <w:tc>
          <w:tcPr>
            <w:tcW w:w="822" w:type="pct"/>
            <w:shd w:val="clear" w:color="auto" w:fill="auto"/>
          </w:tcPr>
          <w:p w14:paraId="23D9D1EE" w14:textId="77777777" w:rsidR="007E0DF1" w:rsidRPr="0085492C" w:rsidRDefault="007E0DF1" w:rsidP="007E0DF1">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76574F34" w14:textId="77777777" w:rsidR="007E0DF1" w:rsidRPr="0085492C" w:rsidRDefault="007E0DF1"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пятого купонного периода является </w:t>
            </w:r>
            <w:r w:rsidRPr="00F80588">
              <w:rPr>
                <w:rFonts w:ascii="Times New Roman" w:hAnsi="Times New Roman"/>
                <w:sz w:val="24"/>
                <w:szCs w:val="24"/>
              </w:rPr>
              <w:t>728-й (Семьсот двадцать восьмой)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E86837E" w14:textId="77777777" w:rsidR="007E0DF1" w:rsidRPr="0085492C" w:rsidRDefault="007E0DF1"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пятого купонного периода является </w:t>
            </w:r>
            <w:r w:rsidRPr="00F80588">
              <w:rPr>
                <w:rFonts w:ascii="Times New Roman" w:hAnsi="Times New Roman"/>
                <w:sz w:val="24"/>
                <w:szCs w:val="24"/>
              </w:rPr>
              <w:t>910-й (Девятьсот десятый) день</w:t>
            </w:r>
            <w:r w:rsidRPr="0085492C">
              <w:rPr>
                <w:rFonts w:ascii="Times New Roman" w:hAnsi="Times New Roman"/>
                <w:sz w:val="24"/>
                <w:szCs w:val="24"/>
              </w:rPr>
              <w:t xml:space="preserve"> с даты начала размещения Биржевых облигаций.</w:t>
            </w:r>
          </w:p>
        </w:tc>
      </w:tr>
      <w:tr w:rsidR="007E0DF1" w:rsidRPr="0085492C" w14:paraId="442BF9DB" w14:textId="77777777" w:rsidTr="009F716A">
        <w:tc>
          <w:tcPr>
            <w:tcW w:w="822" w:type="pct"/>
            <w:shd w:val="clear" w:color="auto" w:fill="auto"/>
          </w:tcPr>
          <w:p w14:paraId="183DEDB8" w14:textId="77777777" w:rsidR="007E0DF1" w:rsidRPr="0085492C" w:rsidRDefault="007E0DF1" w:rsidP="007E0DF1">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AD56A90" w14:textId="77777777" w:rsidR="007E0DF1" w:rsidRPr="0085492C" w:rsidRDefault="007E0DF1"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шестого купонного периода является </w:t>
            </w:r>
            <w:r w:rsidRPr="00F80588">
              <w:rPr>
                <w:rFonts w:ascii="Times New Roman" w:hAnsi="Times New Roman"/>
                <w:sz w:val="24"/>
                <w:szCs w:val="24"/>
              </w:rPr>
              <w:t>910-й (Девятьсот десятый)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865CB11" w14:textId="77777777" w:rsidR="007E0DF1" w:rsidRPr="0085492C" w:rsidRDefault="007E0DF1"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шестого купонного периода является </w:t>
            </w:r>
            <w:r w:rsidRPr="00F80588">
              <w:rPr>
                <w:rFonts w:ascii="Times New Roman" w:hAnsi="Times New Roman"/>
                <w:sz w:val="24"/>
                <w:szCs w:val="24"/>
              </w:rPr>
              <w:t>1092-й (Одна тысяча девяносто второй) день</w:t>
            </w:r>
            <w:r w:rsidRPr="0085492C">
              <w:rPr>
                <w:rFonts w:ascii="Times New Roman" w:hAnsi="Times New Roman"/>
                <w:sz w:val="24"/>
                <w:szCs w:val="24"/>
              </w:rPr>
              <w:t xml:space="preserve"> с даты начала размещения Биржевых облигаций.</w:t>
            </w:r>
          </w:p>
        </w:tc>
      </w:tr>
      <w:tr w:rsidR="007E0DF1" w:rsidRPr="0085492C" w14:paraId="23DE8E6D" w14:textId="77777777" w:rsidTr="009F716A">
        <w:tc>
          <w:tcPr>
            <w:tcW w:w="822" w:type="pct"/>
            <w:shd w:val="clear" w:color="auto" w:fill="auto"/>
          </w:tcPr>
          <w:p w14:paraId="661D269D" w14:textId="77777777" w:rsidR="007E0DF1" w:rsidRPr="0085492C" w:rsidRDefault="007E0DF1" w:rsidP="007E0DF1">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75F4FFF" w14:textId="77777777" w:rsidR="007E0DF1" w:rsidRPr="0085492C" w:rsidRDefault="007E0DF1"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седьмого купонного периода является </w:t>
            </w:r>
            <w:r w:rsidRPr="00F80588">
              <w:rPr>
                <w:rFonts w:ascii="Times New Roman" w:hAnsi="Times New Roman"/>
                <w:sz w:val="24"/>
                <w:szCs w:val="24"/>
              </w:rPr>
              <w:t>1092-й (Одна тысяча девяносто второй)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6E8C9FE2" w14:textId="77777777" w:rsidR="007E0DF1" w:rsidRPr="0085492C" w:rsidRDefault="007E0DF1"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седьмого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r>
      <w:tr w:rsidR="007E0DF1" w:rsidRPr="0085492C" w14:paraId="19B4B099" w14:textId="77777777" w:rsidTr="009F716A">
        <w:tc>
          <w:tcPr>
            <w:tcW w:w="822" w:type="pct"/>
            <w:shd w:val="clear" w:color="auto" w:fill="auto"/>
          </w:tcPr>
          <w:p w14:paraId="2C0A9FAD" w14:textId="77777777" w:rsidR="007E0DF1" w:rsidRPr="0085492C" w:rsidRDefault="007E0DF1" w:rsidP="007E0DF1">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E9C6C8A" w14:textId="77777777" w:rsidR="007E0DF1" w:rsidRPr="0085492C" w:rsidRDefault="007E0DF1"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восьмого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41FCC8EB" w14:textId="77777777" w:rsidR="007E0DF1" w:rsidRPr="0085492C" w:rsidRDefault="007E0DF1"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восьмого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r>
      <w:tr w:rsidR="007E0DF1" w:rsidRPr="0085492C" w14:paraId="2AE37E5A" w14:textId="77777777" w:rsidTr="009F716A">
        <w:tc>
          <w:tcPr>
            <w:tcW w:w="822" w:type="pct"/>
            <w:shd w:val="clear" w:color="auto" w:fill="auto"/>
          </w:tcPr>
          <w:p w14:paraId="43E78D29" w14:textId="77777777" w:rsidR="007E0DF1" w:rsidRPr="0085492C" w:rsidRDefault="007E0DF1" w:rsidP="007E0DF1">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51F44D9" w14:textId="77777777" w:rsidR="007E0DF1" w:rsidRPr="0085492C" w:rsidRDefault="007E0DF1"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девятого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w:t>
            </w:r>
            <w:r w:rsidRPr="0085492C">
              <w:rPr>
                <w:rFonts w:ascii="Times New Roman" w:hAnsi="Times New Roman"/>
                <w:sz w:val="24"/>
                <w:szCs w:val="24"/>
              </w:rPr>
              <w:lastRenderedPageBreak/>
              <w:t>даты начала размещения Биржевых облигаций.</w:t>
            </w:r>
          </w:p>
        </w:tc>
        <w:tc>
          <w:tcPr>
            <w:tcW w:w="2069" w:type="pct"/>
            <w:shd w:val="clear" w:color="auto" w:fill="auto"/>
          </w:tcPr>
          <w:p w14:paraId="3BA10256" w14:textId="77777777" w:rsidR="007E0DF1" w:rsidRPr="0085492C" w:rsidRDefault="007E0DF1"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lastRenderedPageBreak/>
              <w:t xml:space="preserve">Датой окончания девятого купонного периода является </w:t>
            </w:r>
            <w:r w:rsidRPr="00F80588">
              <w:rPr>
                <w:rFonts w:ascii="Times New Roman" w:hAnsi="Times New Roman"/>
                <w:sz w:val="24"/>
                <w:szCs w:val="24"/>
              </w:rPr>
              <w:t xml:space="preserve">1638-й (Одна тысяча шестьсот тридцать восьмой) </w:t>
            </w:r>
            <w:r w:rsidRPr="00F80588">
              <w:rPr>
                <w:rFonts w:ascii="Times New Roman" w:hAnsi="Times New Roman"/>
                <w:sz w:val="24"/>
                <w:szCs w:val="24"/>
              </w:rPr>
              <w:lastRenderedPageBreak/>
              <w:t>день</w:t>
            </w:r>
            <w:r w:rsidRPr="0085492C">
              <w:rPr>
                <w:rFonts w:ascii="Times New Roman" w:hAnsi="Times New Roman"/>
                <w:sz w:val="24"/>
                <w:szCs w:val="24"/>
              </w:rPr>
              <w:t xml:space="preserve"> с даты начала размещения Биржевых облигаций.</w:t>
            </w:r>
          </w:p>
        </w:tc>
      </w:tr>
      <w:tr w:rsidR="007E0DF1" w:rsidRPr="0085492C" w14:paraId="11095474" w14:textId="77777777" w:rsidTr="009F716A">
        <w:tc>
          <w:tcPr>
            <w:tcW w:w="822" w:type="pct"/>
            <w:shd w:val="clear" w:color="auto" w:fill="auto"/>
          </w:tcPr>
          <w:p w14:paraId="747305C1" w14:textId="77777777" w:rsidR="007E0DF1" w:rsidRPr="0085492C" w:rsidRDefault="007E0DF1" w:rsidP="007E0DF1">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7BB0ACC1" w14:textId="77777777" w:rsidR="007E0DF1" w:rsidRPr="0085492C" w:rsidRDefault="007E0DF1"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десятого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43E05AD4" w14:textId="77777777" w:rsidR="007E0DF1" w:rsidRPr="0085492C" w:rsidRDefault="007E0DF1"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десятого купонного периода является </w:t>
            </w:r>
            <w:r w:rsidRPr="00F80588">
              <w:rPr>
                <w:rFonts w:ascii="Times New Roman" w:hAnsi="Times New Roman"/>
                <w:sz w:val="24"/>
                <w:szCs w:val="24"/>
              </w:rPr>
              <w:t>1820-й (Одна тысяча восемьсот двадцатый) день</w:t>
            </w:r>
            <w:r w:rsidRPr="0085492C">
              <w:rPr>
                <w:rFonts w:ascii="Times New Roman" w:hAnsi="Times New Roman"/>
                <w:sz w:val="24"/>
                <w:szCs w:val="24"/>
              </w:rPr>
              <w:t xml:space="preserve"> с даты начала размещения Биржевых облигаций.</w:t>
            </w:r>
          </w:p>
        </w:tc>
      </w:tr>
    </w:tbl>
    <w:p w14:paraId="2DF9AD06" w14:textId="77777777" w:rsidR="007E0DF1" w:rsidRPr="0085492C" w:rsidRDefault="007E0DF1" w:rsidP="007E0DF1">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Размер купонного дохода или порядок его определения:</w:t>
      </w:r>
    </w:p>
    <w:p w14:paraId="5E6F9293" w14:textId="77777777" w:rsidR="007E0DF1" w:rsidRPr="00B61BE1" w:rsidRDefault="007E0DF1" w:rsidP="007E0DF1">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Величина купонного дохода (величина КД) за соответствующий купонный период определяется по формуле, указанной в пункте 9.3 Программы. </w:t>
      </w:r>
    </w:p>
    <w:p w14:paraId="7956F19B" w14:textId="77777777" w:rsidR="007E0DF1" w:rsidRPr="0085492C" w:rsidRDefault="007E0DF1" w:rsidP="007E0DF1">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При этом размер процентной ставки купонного дохода на все купонные периоды (величина Cj) устанавливается равным 0,01% (ноль целых одна сотая процента) годовых.</w:t>
      </w:r>
    </w:p>
    <w:p w14:paraId="177FD035" w14:textId="77777777" w:rsidR="007E0DF1" w:rsidRPr="0085492C" w:rsidRDefault="007E0DF1" w:rsidP="007E0DF1">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Б) Дисконт. </w:t>
      </w:r>
    </w:p>
    <w:p w14:paraId="1D632F56" w14:textId="77777777" w:rsidR="007E0DF1" w:rsidRPr="007C33C8" w:rsidRDefault="007E0DF1" w:rsidP="007E0DF1">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 случае размещения Биржевых облигаций по цене ниже их номинальной стоимости доходом по Биржевым облигациям является разница между номинальной стоимостью </w:t>
      </w:r>
      <w:r w:rsidRPr="007C33C8">
        <w:rPr>
          <w:rFonts w:ascii="Times New Roman" w:hAnsi="Times New Roman"/>
          <w:bCs/>
          <w:iCs/>
          <w:sz w:val="24"/>
          <w:szCs w:val="24"/>
        </w:rPr>
        <w:t>Биржевых облигаций и ценой их размещения (дисконт).</w:t>
      </w:r>
    </w:p>
    <w:p w14:paraId="011BC4EC" w14:textId="77777777" w:rsidR="007E0DF1" w:rsidRPr="00F80588" w:rsidRDefault="007E0DF1" w:rsidP="007E0DF1">
      <w:pPr>
        <w:autoSpaceDE w:val="0"/>
        <w:autoSpaceDN w:val="0"/>
        <w:adjustRightInd w:val="0"/>
        <w:spacing w:before="120" w:after="120" w:line="240" w:lineRule="auto"/>
        <w:ind w:firstLine="540"/>
        <w:jc w:val="both"/>
        <w:rPr>
          <w:rFonts w:ascii="Times New Roman" w:hAnsi="Times New Roman"/>
          <w:bCs/>
          <w:iCs/>
          <w:sz w:val="24"/>
          <w:szCs w:val="24"/>
        </w:rPr>
      </w:pPr>
      <w:r w:rsidRPr="00F80588">
        <w:rPr>
          <w:rFonts w:ascii="Times New Roman" w:hAnsi="Times New Roman"/>
          <w:bCs/>
          <w:iCs/>
          <w:sz w:val="24"/>
          <w:szCs w:val="24"/>
        </w:rPr>
        <w:t>В случае, если на дату погашения Биржевые облигации учитываются на счетах депо иностранных номинальных держателей, налоговый агент РФ – депозитарий удерживает налог с доходов по дисконтным облигациям на основании статей 214.6 и 310.1 НК РФ.</w:t>
      </w:r>
    </w:p>
    <w:p w14:paraId="215E3A93" w14:textId="77777777" w:rsidR="007E0DF1" w:rsidRPr="00F80588" w:rsidRDefault="007E0DF1" w:rsidP="007E0DF1">
      <w:pPr>
        <w:autoSpaceDE w:val="0"/>
        <w:autoSpaceDN w:val="0"/>
        <w:adjustRightInd w:val="0"/>
        <w:spacing w:before="120" w:after="120" w:line="240" w:lineRule="auto"/>
        <w:ind w:firstLine="540"/>
        <w:jc w:val="both"/>
        <w:rPr>
          <w:rFonts w:ascii="Times New Roman" w:hAnsi="Times New Roman"/>
          <w:bCs/>
          <w:iCs/>
          <w:sz w:val="24"/>
          <w:szCs w:val="24"/>
        </w:rPr>
      </w:pPr>
      <w:r w:rsidRPr="00F80588">
        <w:rPr>
          <w:rFonts w:ascii="Times New Roman" w:hAnsi="Times New Roman"/>
          <w:bCs/>
          <w:iCs/>
          <w:sz w:val="24"/>
          <w:szCs w:val="24"/>
        </w:rPr>
        <w:t>Согласно п. 13 ст. 214.6 и п. 14 ст. 310.1 НК РФ налоговый агент, осуществляющий выплату дохода по Биржевым облигациям, осуществляет исчисление и уплату суммы налога в отношении всех сумм доходов, выплачиваемых по дисконтным облигациям. Доходом признается вся сумма, полученная от погашения облигации, в случае расчета налоговой базы налоговым агентом – депоз</w:t>
      </w:r>
      <w:r>
        <w:rPr>
          <w:rFonts w:ascii="Times New Roman" w:hAnsi="Times New Roman"/>
          <w:bCs/>
          <w:iCs/>
          <w:sz w:val="24"/>
          <w:szCs w:val="24"/>
        </w:rPr>
        <w:t>итарием, не имеющим возможности</w:t>
      </w:r>
      <w:r w:rsidRPr="00F80588">
        <w:rPr>
          <w:rFonts w:ascii="Times New Roman" w:hAnsi="Times New Roman"/>
          <w:bCs/>
          <w:iCs/>
          <w:sz w:val="24"/>
          <w:szCs w:val="24"/>
        </w:rPr>
        <w:t xml:space="preserve"> учесть все расходы на приобретение облигаций.</w:t>
      </w:r>
    </w:p>
    <w:p w14:paraId="36F9CCA8" w14:textId="77777777" w:rsidR="007E0DF1" w:rsidRPr="00F80588" w:rsidRDefault="007E0DF1" w:rsidP="007E0DF1">
      <w:pPr>
        <w:autoSpaceDE w:val="0"/>
        <w:autoSpaceDN w:val="0"/>
        <w:adjustRightInd w:val="0"/>
        <w:spacing w:before="120" w:after="120" w:line="240" w:lineRule="auto"/>
        <w:ind w:firstLine="540"/>
        <w:jc w:val="both"/>
        <w:rPr>
          <w:rFonts w:ascii="Times New Roman" w:hAnsi="Times New Roman"/>
          <w:bCs/>
          <w:iCs/>
          <w:sz w:val="24"/>
          <w:szCs w:val="24"/>
        </w:rPr>
      </w:pPr>
      <w:r w:rsidRPr="00F80588">
        <w:rPr>
          <w:rFonts w:ascii="Times New Roman" w:hAnsi="Times New Roman"/>
          <w:bCs/>
          <w:iCs/>
          <w:sz w:val="24"/>
          <w:szCs w:val="24"/>
        </w:rPr>
        <w:t>Возврат суммы излишне уплаченного налога осуществляется налогоплательщику в порядке, установленном НК РФ.</w:t>
      </w:r>
    </w:p>
    <w:p w14:paraId="282D114D" w14:textId="77777777" w:rsidR="007E0DF1" w:rsidRPr="0085492C" w:rsidRDefault="007E0DF1" w:rsidP="007E0DF1">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В) Дополнительный доход</w:t>
      </w:r>
    </w:p>
    <w:p w14:paraId="63FD850C" w14:textId="77777777" w:rsidR="007E0DF1" w:rsidRPr="0085492C" w:rsidRDefault="007E0DF1" w:rsidP="007E0DF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Дополнительный доход является процентным доходом по Биржевым облигациям, определяемым как процент от непогашенной части номинальной стоимости Биржевых облигаций и рассчитываемым исходя из сложившихся цен </w:t>
      </w:r>
      <w:r w:rsidRPr="0085492C">
        <w:rPr>
          <w:rFonts w:ascii="Times New Roman" w:hAnsi="Times New Roman"/>
          <w:b/>
          <w:bCs/>
          <w:i/>
          <w:iCs/>
          <w:sz w:val="24"/>
          <w:szCs w:val="24"/>
        </w:rPr>
        <w:t>Референсного актива (активов)</w:t>
      </w:r>
      <w:r w:rsidRPr="0085492C">
        <w:rPr>
          <w:rFonts w:ascii="Times New Roman" w:hAnsi="Times New Roman"/>
          <w:bCs/>
          <w:iCs/>
          <w:sz w:val="24"/>
          <w:szCs w:val="24"/>
        </w:rPr>
        <w:t xml:space="preserve">. </w:t>
      </w:r>
    </w:p>
    <w:p w14:paraId="0FE6018B" w14:textId="77777777" w:rsidR="007E0DF1" w:rsidRPr="0085492C" w:rsidRDefault="007E0DF1" w:rsidP="007E0DF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Референсный актив (активы)</w:t>
      </w:r>
      <w:r w:rsidRPr="0085492C">
        <w:rPr>
          <w:bCs/>
          <w:iCs/>
          <w:sz w:val="24"/>
          <w:szCs w:val="24"/>
        </w:rPr>
        <w:t xml:space="preserve"> </w:t>
      </w:r>
      <w:r w:rsidRPr="0085492C">
        <w:rPr>
          <w:rFonts w:ascii="Times New Roman" w:hAnsi="Times New Roman"/>
          <w:bCs/>
          <w:iCs/>
          <w:sz w:val="24"/>
          <w:szCs w:val="24"/>
        </w:rPr>
        <w:t>– одна или несколько переменных, значения которых не зависят от усмотрения Эмитента (при этом может предусматриваться, что принимается во внимание минимальное и/или максимальное и/или среднее значение среди тех или иных значений Референсного актива (активов) и/или иной порядок выбора из нескольких значений).</w:t>
      </w:r>
    </w:p>
    <w:p w14:paraId="05D5DF5B" w14:textId="77777777" w:rsidR="007E0DF1" w:rsidRPr="0085492C" w:rsidRDefault="007E0DF1" w:rsidP="007E0DF1">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Дата начала и дата окончания каждого периода дополнительного дохода совпадают соответственно с датой начала и датой окончания каждого купонного периода.</w:t>
      </w:r>
    </w:p>
    <w:p w14:paraId="78E65FD3" w14:textId="77777777" w:rsidR="007E0DF1" w:rsidRPr="00FA4BD6" w:rsidRDefault="007E0DF1" w:rsidP="007E0DF1">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Размер (порядок определения размера) дополнительного дохода устанавливается решением Эмитента до даты начала размещения Биржевых облигаций.</w:t>
      </w:r>
    </w:p>
    <w:p w14:paraId="38F72394" w14:textId="77777777" w:rsidR="007E0DF1" w:rsidRPr="00A1251E" w:rsidRDefault="007E0DF1" w:rsidP="007E0DF1">
      <w:pPr>
        <w:autoSpaceDE w:val="0"/>
        <w:autoSpaceDN w:val="0"/>
        <w:adjustRightInd w:val="0"/>
        <w:spacing w:before="120" w:after="120" w:line="240" w:lineRule="auto"/>
        <w:ind w:firstLine="540"/>
        <w:jc w:val="both"/>
        <w:rPr>
          <w:rFonts w:ascii="Times New Roman" w:hAnsi="Times New Roman"/>
          <w:bCs/>
          <w:iCs/>
          <w:sz w:val="24"/>
          <w:szCs w:val="24"/>
        </w:rPr>
      </w:pPr>
      <w:r w:rsidRPr="00A1251E">
        <w:rPr>
          <w:rFonts w:ascii="Times New Roman" w:hAnsi="Times New Roman"/>
          <w:bCs/>
          <w:iCs/>
          <w:sz w:val="24"/>
          <w:szCs w:val="24"/>
        </w:rPr>
        <w:t xml:space="preserve">Информация о </w:t>
      </w:r>
      <w:r w:rsidRPr="009A576E">
        <w:rPr>
          <w:rFonts w:ascii="Times New Roman" w:hAnsi="Times New Roman"/>
          <w:bCs/>
          <w:iCs/>
          <w:sz w:val="24"/>
          <w:szCs w:val="24"/>
        </w:rPr>
        <w:t>размере (</w:t>
      </w:r>
      <w:r w:rsidRPr="00A1251E">
        <w:rPr>
          <w:rFonts w:ascii="Times New Roman" w:hAnsi="Times New Roman"/>
          <w:bCs/>
          <w:iCs/>
          <w:sz w:val="24"/>
          <w:szCs w:val="24"/>
        </w:rPr>
        <w:t>порядке определения размера</w:t>
      </w:r>
      <w:r w:rsidRPr="009A576E">
        <w:rPr>
          <w:rFonts w:ascii="Times New Roman" w:hAnsi="Times New Roman"/>
          <w:bCs/>
          <w:iCs/>
          <w:sz w:val="24"/>
          <w:szCs w:val="24"/>
        </w:rPr>
        <w:t>)</w:t>
      </w:r>
      <w:r w:rsidRPr="00A1251E">
        <w:rPr>
          <w:rFonts w:ascii="Times New Roman" w:hAnsi="Times New Roman"/>
          <w:bCs/>
          <w:iCs/>
          <w:sz w:val="24"/>
          <w:szCs w:val="24"/>
        </w:rPr>
        <w:t xml:space="preserve"> дополнительного дохода раскрывается Эмитентом в соответствии с п.11 Программы.</w:t>
      </w:r>
    </w:p>
    <w:p w14:paraId="7C1CBD67" w14:textId="77777777" w:rsidR="007E0DF1" w:rsidRPr="0085492C" w:rsidRDefault="007E0DF1" w:rsidP="007E0DF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На величину дополнительного дохода влияет:</w:t>
      </w:r>
    </w:p>
    <w:p w14:paraId="759B140C" w14:textId="77777777" w:rsidR="007E0DF1" w:rsidRPr="0085492C" w:rsidRDefault="007E0DF1" w:rsidP="007E0DF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lastRenderedPageBreak/>
        <w:t xml:space="preserve">1) наступление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bCs/>
          <w:iCs/>
          <w:sz w:val="24"/>
          <w:szCs w:val="24"/>
        </w:rPr>
        <w:t xml:space="preserve"> (как этот термин определен ниже).</w:t>
      </w:r>
    </w:p>
    <w:p w14:paraId="595D0579" w14:textId="77777777" w:rsidR="007E0DF1" w:rsidRPr="0085492C" w:rsidRDefault="007E0DF1" w:rsidP="007E0DF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наступления</w:t>
      </w:r>
      <w:r w:rsidRPr="0085492C">
        <w:rPr>
          <w:rFonts w:ascii="Times New Roman" w:hAnsi="Times New Roman" w:cs="Times New Roman"/>
          <w:sz w:val="24"/>
          <w:szCs w:val="24"/>
        </w:rPr>
        <w:t xml:space="preserve">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Расчетный агент на основании публичной информации и/или разумных и коммерчески обоснованных предположений Расчетного агента в отношении Референсных активов определяет значения Референсных активов.</w:t>
      </w:r>
    </w:p>
    <w:p w14:paraId="60A7C933" w14:textId="77777777" w:rsidR="007E0DF1" w:rsidRPr="0085492C" w:rsidRDefault="007E0DF1" w:rsidP="007E0DF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Трансформация Референсного актива</w:t>
      </w:r>
      <w:r w:rsidRPr="0085492C">
        <w:rPr>
          <w:rFonts w:ascii="Times New Roman" w:hAnsi="Times New Roman" w:cs="Times New Roman"/>
          <w:sz w:val="24"/>
          <w:szCs w:val="24"/>
        </w:rPr>
        <w:t xml:space="preserve"> – означает 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FDE85FE" w14:textId="77777777" w:rsidR="007E0DF1" w:rsidRPr="0085492C" w:rsidRDefault="007E0DF1" w:rsidP="007E0DF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определяется Расчетным агентом на основании публичной информации и/или разумных и коммерчески обоснованных предположений Расчетного агента в отношении Референсных активов. Датой наступления Трансформации Референсного актива является дата получения Эмитентом от Расчетного агента уведомления о наступлении Трансформации Референсного актива и о значении Референсного актива (активов), определенного Расчетным агентом в результате наступления Трансформации Референсного актива. </w:t>
      </w:r>
    </w:p>
    <w:p w14:paraId="36C71A4B" w14:textId="77777777" w:rsidR="007E0DF1" w:rsidRPr="00C76D1F" w:rsidRDefault="007E0DF1" w:rsidP="007E0DF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раскрывается Эмитентом </w:t>
      </w:r>
      <w:r w:rsidRPr="00C76D1F">
        <w:rPr>
          <w:rFonts w:ascii="Times New Roman" w:hAnsi="Times New Roman" w:cs="Times New Roman"/>
          <w:sz w:val="24"/>
          <w:szCs w:val="24"/>
        </w:rPr>
        <w:t>в форме сообщения о существенном факте в следующие сроки с даты наступления Трансформации Референсного актива (даты получения Эмитентом от Расчетного агента уведомления о наступлении Трансформации Референсного актива):</w:t>
      </w:r>
    </w:p>
    <w:p w14:paraId="0F4891DB" w14:textId="77777777" w:rsidR="007E0DF1" w:rsidRPr="00C76D1F" w:rsidRDefault="007E0DF1" w:rsidP="007E0DF1">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6E103388" w14:textId="77777777" w:rsidR="007E0DF1" w:rsidRPr="00C76D1F" w:rsidRDefault="007E0DF1" w:rsidP="007E0DF1">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7E95D25A" w14:textId="77777777" w:rsidR="007E0DF1" w:rsidRPr="00C76D1F" w:rsidRDefault="007E0DF1" w:rsidP="007E0DF1">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54B3C0E7" w14:textId="77777777" w:rsidR="007E0DF1" w:rsidRPr="0085492C" w:rsidRDefault="007E0DF1" w:rsidP="007E0DF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Информация о величине дополнительного дохода, рассчитанного в результате наступления Трансформации Референсного актива, раскрывается Эмитентом в порядке и сроки, установленные подпунктом 23.3 (2) пункта 11 Программы.</w:t>
      </w:r>
    </w:p>
    <w:p w14:paraId="0EFC41A7" w14:textId="77777777" w:rsidR="007E0DF1" w:rsidRPr="0085492C" w:rsidRDefault="007E0DF1" w:rsidP="007E0DF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 xml:space="preserve">2) наступление </w:t>
      </w:r>
      <w:r w:rsidRPr="0085492C">
        <w:rPr>
          <w:rFonts w:ascii="Times New Roman" w:hAnsi="Times New Roman"/>
          <w:b/>
          <w:bCs/>
          <w:i/>
          <w:iCs/>
          <w:sz w:val="24"/>
          <w:szCs w:val="24"/>
        </w:rPr>
        <w:t>Особого обстоятельства</w:t>
      </w:r>
      <w:r w:rsidRPr="0085492C">
        <w:rPr>
          <w:rFonts w:ascii="Times New Roman" w:hAnsi="Times New Roman"/>
          <w:bCs/>
          <w:iCs/>
          <w:sz w:val="24"/>
          <w:szCs w:val="24"/>
        </w:rPr>
        <w:t xml:space="preserve"> (как этот термин определен ниже).</w:t>
      </w:r>
    </w:p>
    <w:p w14:paraId="7E6F4E13" w14:textId="77777777" w:rsidR="007E0DF1" w:rsidRPr="0085492C" w:rsidRDefault="007E0DF1" w:rsidP="007E0DF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В случае, если в течение срока обращения Биржевых облигаций в отношении любого Референсного актива, цена которого используется для определения величины дополнительного дохода, и (или) Эмитента наступает </w:t>
      </w: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то дополнительный доход</w:t>
      </w:r>
      <w:r w:rsidRPr="0085492C">
        <w:rPr>
          <w:rFonts w:ascii="Times New Roman" w:hAnsi="Times New Roman"/>
          <w:sz w:val="24"/>
        </w:rPr>
        <w:t xml:space="preserve"> за </w:t>
      </w:r>
      <w:r w:rsidRPr="0085492C">
        <w:rPr>
          <w:rFonts w:ascii="Times New Roman" w:hAnsi="Times New Roman" w:cs="Times New Roman"/>
          <w:sz w:val="24"/>
          <w:szCs w:val="24"/>
        </w:rPr>
        <w:t>соответствующий период не выплачивается</w:t>
      </w:r>
      <w:r w:rsidRPr="0085492C">
        <w:rPr>
          <w:rFonts w:ascii="Times New Roman" w:hAnsi="Times New Roman" w:cs="Times New Roman"/>
          <w:color w:val="000000"/>
          <w:sz w:val="24"/>
          <w:szCs w:val="24"/>
        </w:rPr>
        <w:t xml:space="preserve">. После наступления </w:t>
      </w:r>
      <w:r w:rsidRPr="0085492C">
        <w:rPr>
          <w:rFonts w:ascii="Times New Roman" w:hAnsi="Times New Roman" w:cs="Times New Roman"/>
          <w:b/>
          <w:i/>
          <w:color w:val="000000"/>
          <w:sz w:val="24"/>
          <w:szCs w:val="24"/>
        </w:rPr>
        <w:t xml:space="preserve">Особого обстоятельства </w:t>
      </w:r>
      <w:r w:rsidRPr="0085492C">
        <w:rPr>
          <w:rFonts w:ascii="Times New Roman" w:hAnsi="Times New Roman" w:cs="Times New Roman"/>
          <w:color w:val="000000"/>
          <w:sz w:val="24"/>
          <w:szCs w:val="24"/>
        </w:rPr>
        <w:t>дополнительный доход не начисляется и не выплачивается.</w:t>
      </w:r>
    </w:p>
    <w:p w14:paraId="0F1327C4" w14:textId="77777777" w:rsidR="007E0DF1" w:rsidRPr="0085492C" w:rsidRDefault="007E0DF1" w:rsidP="007E0DF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xml:space="preserve"> означает Изменение законодательства, Невозможность хеджирования и Увеличение расходов на хеджирование.</w:t>
      </w:r>
    </w:p>
    <w:p w14:paraId="6CE93D3A" w14:textId="77777777" w:rsidR="007E0DF1" w:rsidRPr="0085492C" w:rsidRDefault="007E0DF1" w:rsidP="007E0DF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 xml:space="preserve">В случае, если Референсным активом (активами) являются долевые ценные бумаги (обыкновенные акции, привилегированные акции), то </w:t>
      </w:r>
      <w:r w:rsidRPr="0085492C">
        <w:rPr>
          <w:rFonts w:ascii="Times New Roman" w:hAnsi="Times New Roman"/>
          <w:b/>
          <w:bCs/>
          <w:i/>
          <w:iCs/>
          <w:sz w:val="24"/>
          <w:szCs w:val="24"/>
        </w:rPr>
        <w:t>Особым обстоятельством</w:t>
      </w:r>
      <w:r w:rsidRPr="0085492C">
        <w:rPr>
          <w:rFonts w:ascii="Times New Roman" w:hAnsi="Times New Roman"/>
          <w:bCs/>
          <w:iCs/>
          <w:sz w:val="24"/>
          <w:szCs w:val="24"/>
        </w:rPr>
        <w:t xml:space="preserve"> дополнительно являются также </w:t>
      </w:r>
      <w:r w:rsidRPr="0085492C">
        <w:rPr>
          <w:rFonts w:ascii="Times New Roman" w:hAnsi="Times New Roman" w:cs="Times New Roman"/>
          <w:sz w:val="24"/>
          <w:szCs w:val="24"/>
        </w:rPr>
        <w:t xml:space="preserve">Реорганизация, Приобретение по публичной оферте, Национализация, Делистинг, Корпоративное событие, наступление которого препятствует или может препятствовать определению величины дополнительного дохода. </w:t>
      </w:r>
    </w:p>
    <w:p w14:paraId="4ADECEA9" w14:textId="77777777" w:rsidR="007E0DF1" w:rsidRPr="0085492C" w:rsidRDefault="007E0DF1" w:rsidP="007E0DF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 xml:space="preserve"> определяется Расчетным агентом на основании публичной информации и/или разумных и коммерчески обоснованных предположений Расчетного агента в отношении состояния рынка, Референсных активов и Эмитента. Датой наступления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w:t>
      </w:r>
    </w:p>
    <w:p w14:paraId="60AAF525" w14:textId="77777777" w:rsidR="007E0DF1" w:rsidRPr="0085492C" w:rsidRDefault="007E0DF1" w:rsidP="007E0DF1">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lastRenderedPageBreak/>
        <w:t>Изменение законодательства</w:t>
      </w:r>
      <w:r w:rsidRPr="0085492C">
        <w:rPr>
          <w:rFonts w:ascii="Times New Roman" w:hAnsi="Times New Roman" w:cs="Times New Roman"/>
          <w:sz w:val="24"/>
          <w:szCs w:val="24"/>
        </w:rPr>
        <w:t xml:space="preserve"> – (аа)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198B7EC9" w14:textId="77777777" w:rsidR="007E0DF1" w:rsidRPr="0085492C" w:rsidRDefault="007E0DF1" w:rsidP="007E0DF1">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Невозможность хеджирования</w:t>
      </w:r>
      <w:r w:rsidRPr="0085492C">
        <w:rPr>
          <w:rFonts w:ascii="Times New Roman" w:hAnsi="Times New Roman" w:cs="Times New Roman"/>
          <w:sz w:val="24"/>
          <w:szCs w:val="24"/>
        </w:rPr>
        <w:t xml:space="preserve"> – ситуация, когда Эмитент не может, добросовестно предприняв все разумные усилия заключить, изменить или расторгнуть сделку по хеджированию риска изменения цены Референсного актива;</w:t>
      </w:r>
    </w:p>
    <w:p w14:paraId="178B9F8B" w14:textId="77777777" w:rsidR="007E0DF1" w:rsidRPr="0085492C" w:rsidRDefault="007E0DF1" w:rsidP="007E0DF1">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Увеличение расходов на хеджирование</w:t>
      </w:r>
      <w:r w:rsidRPr="0085492C">
        <w:rPr>
          <w:rFonts w:ascii="Times New Roman" w:hAnsi="Times New Roman" w:cs="Times New Roman"/>
          <w:sz w:val="24"/>
          <w:szCs w:val="24"/>
        </w:rPr>
        <w:t xml:space="preserve"> – означает увеличение (по сравнению с обстоятельствами, существовавшими на дату размещения Биржевых облигаций) затрат Эмитента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Референсного актива; при этом увеличение затрат, вызванное ухудшением платежеспособности Эмитента, не является Увеличением расходов на хеджирование;</w:t>
      </w:r>
    </w:p>
    <w:p w14:paraId="627445A6" w14:textId="77777777" w:rsidR="007E0DF1" w:rsidRPr="0085492C" w:rsidRDefault="007E0DF1" w:rsidP="007E0DF1">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 xml:space="preserve">Реорганизация </w:t>
      </w:r>
      <w:r w:rsidRPr="0085492C">
        <w:rPr>
          <w:rFonts w:ascii="Times New Roman" w:hAnsi="Times New Roman" w:cs="Times New Roman"/>
          <w:sz w:val="24"/>
          <w:szCs w:val="24"/>
        </w:rPr>
        <w:t>означает применительно к Референсному активу: (А) конвертацию или обмен Референсного актива, в результате которого происходит передача или возникает обязанность передать все акции, находящиеся в обращении, третьему лицу или лицам; (Б) присоединение эмитента Референсного актива к другому юридическому лицу или слияние эмитента Референсного актива с одним или более юридическими лицами, преобразование эмитента Референсного актива; (В) требование о выкупе, добровольное или обязательное предложение,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акций эмитента Референсного</w:t>
      </w:r>
      <w:r w:rsidRPr="0085492C" w:rsidDel="00F428EA">
        <w:rPr>
          <w:rFonts w:ascii="Times New Roman" w:hAnsi="Times New Roman" w:cs="Times New Roman"/>
          <w:sz w:val="24"/>
          <w:szCs w:val="24"/>
        </w:rPr>
        <w:t xml:space="preserve"> </w:t>
      </w:r>
      <w:r w:rsidRPr="0085492C">
        <w:rPr>
          <w:rFonts w:ascii="Times New Roman" w:hAnsi="Times New Roman" w:cs="Times New Roman"/>
          <w:sz w:val="24"/>
          <w:szCs w:val="24"/>
        </w:rPr>
        <w:t>актива, в результате которого происходит передача или возникает обязанность передать такому лицу все указанные акции (кроме акций, принадлежащих такому лицу напрямую или контролируемых им через третьих лиц); (Г) увеличение или уменьшение акционерного капитала эмитента Референсного актива, в том числе путем дробления или консолидации акций; (Д) изменение основных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p>
    <w:p w14:paraId="21A0ED50" w14:textId="77777777" w:rsidR="007E0DF1" w:rsidRPr="0085492C" w:rsidRDefault="007E0DF1" w:rsidP="007E0DF1">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Приобретение по публичной оферте</w:t>
      </w:r>
      <w:r w:rsidRPr="0085492C">
        <w:t xml:space="preserve"> – </w:t>
      </w:r>
      <w:r w:rsidRPr="0085492C">
        <w:rPr>
          <w:rFonts w:ascii="Times New Roman" w:hAnsi="Times New Roman" w:cs="Times New Roman"/>
          <w:sz w:val="24"/>
          <w:szCs w:val="24"/>
        </w:rPr>
        <w:t>означает 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 находящихся в обращении голосующих акций эмитента Референсного актива</w:t>
      </w:r>
      <w:r w:rsidRPr="0085492C">
        <w:t>;</w:t>
      </w:r>
    </w:p>
    <w:p w14:paraId="35BCE124" w14:textId="77777777" w:rsidR="007E0DF1" w:rsidRPr="0085492C" w:rsidRDefault="007E0DF1" w:rsidP="007E0DF1">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Национализация</w:t>
      </w:r>
      <w:r w:rsidRPr="0085492C">
        <w:t xml:space="preserve"> – </w:t>
      </w:r>
      <w:r w:rsidRPr="0085492C">
        <w:rPr>
          <w:rFonts w:ascii="Times New Roman" w:hAnsi="Times New Roman" w:cs="Times New Roman"/>
          <w:sz w:val="24"/>
          <w:szCs w:val="24"/>
        </w:rPr>
        <w:t>ситуация, когда все Референсные активы и (или) имущество эмитента Референсного актива национализированы, реквизированы, конфискованы или по иным основаниям подлежат обращению в государственную собственность и/или собственность лиц, определяемых государством;</w:t>
      </w:r>
      <w:r w:rsidRPr="0085492C">
        <w:t xml:space="preserve"> </w:t>
      </w:r>
    </w:p>
    <w:p w14:paraId="2A15FC12" w14:textId="77777777" w:rsidR="007E0DF1" w:rsidRPr="0085492C" w:rsidRDefault="007E0DF1" w:rsidP="007E0DF1">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Делистинг –</w:t>
      </w:r>
      <w:r w:rsidRPr="0085492C">
        <w:t xml:space="preserve"> </w:t>
      </w:r>
      <w:r w:rsidRPr="0085492C">
        <w:rPr>
          <w:rFonts w:ascii="Times New Roman" w:hAnsi="Times New Roman" w:cs="Times New Roman"/>
          <w:sz w:val="24"/>
          <w:szCs w:val="24"/>
        </w:rPr>
        <w:t>ситуация, когда ПАО Московская Биржа</w:t>
      </w:r>
      <w:r w:rsidRPr="00A7605B">
        <w:rPr>
          <w:rFonts w:ascii="Times New Roman" w:hAnsi="Times New Roman" w:cs="Times New Roman"/>
          <w:sz w:val="24"/>
          <w:szCs w:val="24"/>
        </w:rPr>
        <w:t xml:space="preserve"> либо иная биржа, на которой происходит обращение Референсного актива,</w:t>
      </w:r>
      <w:r w:rsidRPr="0085492C">
        <w:rPr>
          <w:rFonts w:ascii="Times New Roman" w:hAnsi="Times New Roman" w:cs="Times New Roman"/>
          <w:sz w:val="24"/>
          <w:szCs w:val="24"/>
        </w:rPr>
        <w:t xml:space="preserve"> объявляет о том, что в соответствии с ее правилами любой из или все Референсные активы исключаются или подлежат исключению из списка ценных бумаг, допущенных к торгам </w:t>
      </w:r>
      <w:r w:rsidRPr="00A7605B">
        <w:rPr>
          <w:rFonts w:ascii="Times New Roman" w:hAnsi="Times New Roman" w:cs="Times New Roman"/>
          <w:sz w:val="24"/>
          <w:szCs w:val="24"/>
        </w:rPr>
        <w:t>на такой бирже</w:t>
      </w:r>
      <w:r w:rsidRPr="0085492C">
        <w:rPr>
          <w:rFonts w:ascii="Times New Roman" w:hAnsi="Times New Roman" w:cs="Times New Roman"/>
          <w:sz w:val="24"/>
          <w:szCs w:val="24"/>
        </w:rPr>
        <w:t xml:space="preserve">, торги этими Референсными 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w:t>
      </w:r>
      <w:r w:rsidRPr="0085492C">
        <w:rPr>
          <w:rFonts w:ascii="Times New Roman" w:hAnsi="Times New Roman" w:cs="Times New Roman"/>
          <w:sz w:val="24"/>
          <w:szCs w:val="24"/>
        </w:rPr>
        <w:lastRenderedPageBreak/>
        <w:t>Референсных активов в списки допущенных к торгам ценных бумаг или их допуска к торгам иным образом на какой-либо иной бирже;</w:t>
      </w:r>
    </w:p>
    <w:p w14:paraId="2873F7C9" w14:textId="77777777" w:rsidR="007E0DF1" w:rsidRPr="0085492C" w:rsidRDefault="007E0DF1" w:rsidP="007E0DF1">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sidRPr="0085492C">
        <w:rPr>
          <w:rFonts w:ascii="Times New Roman" w:hAnsi="Times New Roman" w:cs="Times New Roman"/>
          <w:b/>
          <w:i/>
          <w:sz w:val="24"/>
          <w:szCs w:val="24"/>
        </w:rPr>
        <w:t>Корпоративное событие –</w:t>
      </w:r>
      <w:r w:rsidRPr="0085492C">
        <w:rPr>
          <w:rFonts w:ascii="Times New Roman" w:hAnsi="Times New Roman" w:cs="Times New Roman"/>
          <w:sz w:val="24"/>
          <w:szCs w:val="24"/>
        </w:rPr>
        <w:t xml:space="preserve"> означает 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p>
    <w:p w14:paraId="03F5AB2C" w14:textId="77777777" w:rsidR="007E0DF1" w:rsidRPr="00C76D1F" w:rsidRDefault="007E0DF1" w:rsidP="007E0DF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Особого обстоятельства</w:t>
      </w:r>
      <w:r>
        <w:rPr>
          <w:rFonts w:ascii="Times New Roman" w:hAnsi="Times New Roman" w:cs="Times New Roman"/>
          <w:sz w:val="24"/>
          <w:szCs w:val="24"/>
        </w:rPr>
        <w:t xml:space="preserve"> раскрывается Эмитентом</w:t>
      </w:r>
      <w:r w:rsidRPr="00C76D1F">
        <w:rPr>
          <w:rFonts w:ascii="Times New Roman" w:hAnsi="Times New Roman" w:cs="Times New Roman"/>
          <w:sz w:val="24"/>
          <w:szCs w:val="24"/>
        </w:rPr>
        <w:t xml:space="preserve"> в форме сообщения о существенном факте в следующие сроки с даты наступления Особого обстоятельства (даты получения Эмитентом от Расчетного агента уведомления о наступлении Особого обстоятельства):</w:t>
      </w:r>
    </w:p>
    <w:p w14:paraId="02B45F99" w14:textId="77777777" w:rsidR="007E0DF1" w:rsidRPr="00C76D1F" w:rsidRDefault="007E0DF1" w:rsidP="007E0DF1">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5CC4354A" w14:textId="77777777" w:rsidR="007E0DF1" w:rsidRPr="00C76D1F" w:rsidRDefault="007E0DF1" w:rsidP="007E0DF1">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6E3D4760" w14:textId="77777777" w:rsidR="007E0DF1" w:rsidRPr="00C76D1F" w:rsidRDefault="007E0DF1" w:rsidP="007E0DF1">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3FE82982" w14:textId="3D982A81" w:rsidR="007E0DF1" w:rsidRPr="0085492C" w:rsidRDefault="007E0DF1" w:rsidP="007E0DF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Иные сведения, подлежащие указанию в настоящем пункте, приведены в пункте 9.3 Программы.</w:t>
      </w:r>
      <w:r w:rsidR="004F62F6">
        <w:rPr>
          <w:rFonts w:ascii="Times New Roman" w:hAnsi="Times New Roman"/>
          <w:bCs/>
          <w:iCs/>
          <w:sz w:val="24"/>
          <w:szCs w:val="24"/>
        </w:rPr>
        <w:t>»</w:t>
      </w:r>
    </w:p>
    <w:p w14:paraId="091D039A" w14:textId="77777777" w:rsidR="007E0DF1" w:rsidRDefault="007E0DF1" w:rsidP="005A3AE5">
      <w:pPr>
        <w:autoSpaceDE w:val="0"/>
        <w:autoSpaceDN w:val="0"/>
        <w:adjustRightInd w:val="0"/>
        <w:spacing w:after="0" w:line="240" w:lineRule="auto"/>
        <w:jc w:val="both"/>
        <w:rPr>
          <w:rFonts w:ascii="Times New Roman" w:hAnsi="Times New Roman"/>
          <w:b/>
          <w:bCs/>
          <w:i/>
          <w:iCs/>
        </w:rPr>
      </w:pPr>
    </w:p>
    <w:p w14:paraId="208B90E2" w14:textId="586BE9F8" w:rsidR="004F62F6" w:rsidRPr="005A3AE5" w:rsidRDefault="004F62F6" w:rsidP="004F62F6">
      <w:pPr>
        <w:pStyle w:val="21"/>
        <w:jc w:val="left"/>
        <w:rPr>
          <w:b/>
          <w:sz w:val="22"/>
          <w:szCs w:val="22"/>
          <w:u w:val="single"/>
          <w:lang w:val="ru-RU"/>
        </w:rPr>
      </w:pPr>
      <w:r>
        <w:rPr>
          <w:b/>
          <w:sz w:val="22"/>
          <w:szCs w:val="22"/>
          <w:u w:val="single"/>
          <w:lang w:val="ru-RU"/>
        </w:rPr>
        <w:t xml:space="preserve">Текст новой </w:t>
      </w:r>
      <w:r w:rsidRPr="005A3AE5">
        <w:rPr>
          <w:b/>
          <w:sz w:val="22"/>
          <w:szCs w:val="22"/>
          <w:u w:val="single"/>
          <w:lang w:val="ru-RU"/>
        </w:rPr>
        <w:t xml:space="preserve">редакции </w:t>
      </w:r>
      <w:r>
        <w:rPr>
          <w:b/>
          <w:sz w:val="22"/>
          <w:szCs w:val="22"/>
          <w:u w:val="single"/>
          <w:lang w:val="ru-RU"/>
        </w:rPr>
        <w:t>пункта 5.4.</w:t>
      </w:r>
      <w:r w:rsidRPr="005A3AE5">
        <w:rPr>
          <w:b/>
          <w:sz w:val="22"/>
          <w:szCs w:val="22"/>
          <w:u w:val="single"/>
          <w:lang w:val="ru-RU"/>
        </w:rPr>
        <w:t>:</w:t>
      </w:r>
    </w:p>
    <w:p w14:paraId="3C4F7E09" w14:textId="79434EF3" w:rsidR="004F62F6" w:rsidRPr="0085492C" w:rsidRDefault="004F62F6" w:rsidP="004F62F6">
      <w:pPr>
        <w:autoSpaceDE w:val="0"/>
        <w:autoSpaceDN w:val="0"/>
        <w:adjustRightInd w:val="0"/>
        <w:spacing w:before="120" w:after="120" w:line="240" w:lineRule="auto"/>
        <w:ind w:firstLine="540"/>
        <w:jc w:val="both"/>
        <w:rPr>
          <w:rFonts w:ascii="Times New Roman" w:hAnsi="Times New Roman"/>
          <w:b/>
          <w:bCs/>
          <w:i/>
          <w:iCs/>
          <w:sz w:val="24"/>
          <w:szCs w:val="24"/>
        </w:rPr>
      </w:pPr>
      <w:r>
        <w:rPr>
          <w:rFonts w:ascii="Times New Roman" w:hAnsi="Times New Roman"/>
          <w:b/>
          <w:bCs/>
          <w:i/>
          <w:iCs/>
          <w:sz w:val="24"/>
          <w:szCs w:val="24"/>
        </w:rPr>
        <w:t>«</w:t>
      </w:r>
      <w:r w:rsidRPr="00F80588">
        <w:rPr>
          <w:rFonts w:ascii="Times New Roman" w:hAnsi="Times New Roman"/>
          <w:b/>
          <w:bCs/>
          <w:i/>
          <w:iCs/>
          <w:sz w:val="24"/>
          <w:szCs w:val="24"/>
        </w:rPr>
        <w:t>5</w:t>
      </w:r>
      <w:r w:rsidRPr="0085492C">
        <w:rPr>
          <w:rFonts w:ascii="Times New Roman" w:hAnsi="Times New Roman"/>
          <w:b/>
          <w:bCs/>
          <w:i/>
          <w:iCs/>
          <w:sz w:val="24"/>
          <w:szCs w:val="24"/>
        </w:rPr>
        <w:t>.</w:t>
      </w:r>
      <w:r w:rsidRPr="00F80588">
        <w:rPr>
          <w:rFonts w:ascii="Times New Roman" w:hAnsi="Times New Roman"/>
          <w:b/>
          <w:bCs/>
          <w:i/>
          <w:iCs/>
          <w:sz w:val="24"/>
          <w:szCs w:val="24"/>
        </w:rPr>
        <w:t>4</w:t>
      </w:r>
      <w:r w:rsidRPr="0085492C">
        <w:rPr>
          <w:rFonts w:ascii="Times New Roman" w:hAnsi="Times New Roman"/>
          <w:b/>
          <w:bCs/>
          <w:i/>
          <w:iCs/>
          <w:sz w:val="24"/>
          <w:szCs w:val="24"/>
        </w:rPr>
        <w:t>. Порядок определения дохода, выплачиваемого по каждой облигации</w:t>
      </w:r>
    </w:p>
    <w:p w14:paraId="50A302D9" w14:textId="45DCA087" w:rsidR="004F62F6" w:rsidRPr="0085492C"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Биржевые облигации выпуска предусматривают получение купонного дохода и дополнительного дохода.</w:t>
      </w:r>
    </w:p>
    <w:p w14:paraId="18B12809" w14:textId="77777777" w:rsidR="004F62F6" w:rsidRPr="0085492C" w:rsidRDefault="004F62F6" w:rsidP="004F62F6">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А) Купонный доход</w:t>
      </w:r>
    </w:p>
    <w:p w14:paraId="5F5995A5" w14:textId="77777777" w:rsidR="004F62F6" w:rsidRPr="0085492C"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Купонным доходом по Биржевым облигациям является сумма купонных доходов, начисляемых за каждый купонный период в виде процентов от непогашенной части номинальной стоимости Биржевых облигаций и выплачиваемых в дату окончания соответствующего купонного периода.</w:t>
      </w:r>
    </w:p>
    <w:p w14:paraId="0ACEB383" w14:textId="77777777" w:rsidR="004F62F6" w:rsidRPr="0085492C"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Pr="00B61BE1">
        <w:rPr>
          <w:rFonts w:ascii="Times New Roman" w:hAnsi="Times New Roman"/>
          <w:bCs/>
          <w:iCs/>
          <w:sz w:val="24"/>
          <w:szCs w:val="24"/>
        </w:rPr>
        <w:t>10.</w:t>
      </w:r>
    </w:p>
    <w:p w14:paraId="36C95087" w14:textId="77777777" w:rsidR="004F62F6" w:rsidRPr="0085492C"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Длительность каждого из купонных периодов:</w:t>
      </w:r>
      <w:r w:rsidRPr="0085492C">
        <w:rPr>
          <w:rFonts w:ascii="Times New Roman" w:hAnsi="Times New Roman"/>
          <w:bCs/>
          <w:iCs/>
          <w:sz w:val="24"/>
          <w:szCs w:val="24"/>
        </w:rPr>
        <w:t xml:space="preserve"> </w:t>
      </w:r>
      <w:r w:rsidRPr="00B61BE1">
        <w:rPr>
          <w:rFonts w:ascii="Times New Roman" w:hAnsi="Times New Roman"/>
          <w:bCs/>
          <w:iCs/>
          <w:sz w:val="24"/>
          <w:szCs w:val="24"/>
        </w:rPr>
        <w:t>182 (Сто восемьдесят два) дня</w:t>
      </w:r>
      <w:r w:rsidRPr="0085492C">
        <w:rPr>
          <w:rFonts w:ascii="Times New Roman" w:hAnsi="Times New Roman"/>
          <w:bCs/>
          <w:iCs/>
          <w:sz w:val="24"/>
          <w:szCs w:val="24"/>
        </w:rPr>
        <w:t>.</w:t>
      </w:r>
    </w:p>
    <w:p w14:paraId="64231DC3" w14:textId="77777777" w:rsidR="004F62F6" w:rsidRPr="0085492C" w:rsidRDefault="004F62F6" w:rsidP="004F62F6">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9"/>
        <w:gridCol w:w="4181"/>
        <w:gridCol w:w="4102"/>
      </w:tblGrid>
      <w:tr w:rsidR="004F62F6" w:rsidRPr="0085492C" w14:paraId="04A1C0C1" w14:textId="77777777" w:rsidTr="009F716A">
        <w:trPr>
          <w:tblHeader/>
        </w:trPr>
        <w:tc>
          <w:tcPr>
            <w:tcW w:w="822" w:type="pct"/>
            <w:vMerge w:val="restart"/>
            <w:shd w:val="clear" w:color="auto" w:fill="auto"/>
          </w:tcPr>
          <w:p w14:paraId="3239B00F" w14:textId="77777777" w:rsidR="004F62F6" w:rsidRPr="0085492C" w:rsidRDefault="004F62F6" w:rsidP="009F716A">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Порядковый номер купонного периода</w:t>
            </w:r>
          </w:p>
        </w:tc>
        <w:tc>
          <w:tcPr>
            <w:tcW w:w="4178" w:type="pct"/>
            <w:gridSpan w:val="2"/>
            <w:shd w:val="clear" w:color="auto" w:fill="auto"/>
          </w:tcPr>
          <w:p w14:paraId="6A2410B4" w14:textId="77777777" w:rsidR="004F62F6" w:rsidRPr="0085492C" w:rsidRDefault="004F62F6" w:rsidP="009F716A">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Продолжительность купонного периода</w:t>
            </w:r>
          </w:p>
        </w:tc>
      </w:tr>
      <w:tr w:rsidR="004F62F6" w:rsidRPr="0085492C" w14:paraId="3162C667" w14:textId="77777777" w:rsidTr="009F716A">
        <w:trPr>
          <w:tblHeader/>
        </w:trPr>
        <w:tc>
          <w:tcPr>
            <w:tcW w:w="822" w:type="pct"/>
            <w:vMerge/>
            <w:shd w:val="clear" w:color="auto" w:fill="auto"/>
          </w:tcPr>
          <w:p w14:paraId="4C6C6D27" w14:textId="77777777" w:rsidR="004F62F6" w:rsidRPr="0085492C" w:rsidRDefault="004F62F6" w:rsidP="009F716A">
            <w:pPr>
              <w:adjustRightInd w:val="0"/>
              <w:spacing w:before="120" w:after="120"/>
              <w:jc w:val="center"/>
              <w:rPr>
                <w:rFonts w:ascii="Times New Roman" w:hAnsi="Times New Roman"/>
                <w:b/>
                <w:sz w:val="24"/>
                <w:szCs w:val="24"/>
              </w:rPr>
            </w:pPr>
          </w:p>
        </w:tc>
        <w:tc>
          <w:tcPr>
            <w:tcW w:w="2109" w:type="pct"/>
            <w:shd w:val="clear" w:color="auto" w:fill="auto"/>
          </w:tcPr>
          <w:p w14:paraId="76A43E1E" w14:textId="77777777" w:rsidR="004F62F6" w:rsidRPr="0085492C" w:rsidRDefault="004F62F6" w:rsidP="009F716A">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начала</w:t>
            </w:r>
            <w:r w:rsidRPr="0085492C">
              <w:t xml:space="preserve"> </w:t>
            </w:r>
            <w:r w:rsidRPr="0085492C">
              <w:rPr>
                <w:rFonts w:ascii="Times New Roman" w:hAnsi="Times New Roman"/>
                <w:b/>
                <w:sz w:val="24"/>
                <w:szCs w:val="24"/>
              </w:rPr>
              <w:t>купонного периода</w:t>
            </w:r>
          </w:p>
        </w:tc>
        <w:tc>
          <w:tcPr>
            <w:tcW w:w="2069" w:type="pct"/>
            <w:shd w:val="clear" w:color="auto" w:fill="auto"/>
          </w:tcPr>
          <w:p w14:paraId="15EFF3A5" w14:textId="77777777" w:rsidR="004F62F6" w:rsidRPr="0085492C" w:rsidRDefault="004F62F6" w:rsidP="009F716A">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окончания</w:t>
            </w:r>
            <w:r w:rsidRPr="0085492C">
              <w:t xml:space="preserve"> </w:t>
            </w:r>
            <w:r w:rsidRPr="0085492C">
              <w:rPr>
                <w:rFonts w:ascii="Times New Roman" w:hAnsi="Times New Roman"/>
                <w:b/>
                <w:sz w:val="24"/>
                <w:szCs w:val="24"/>
              </w:rPr>
              <w:t>купонного периода</w:t>
            </w:r>
          </w:p>
        </w:tc>
      </w:tr>
      <w:tr w:rsidR="004F62F6" w:rsidRPr="0085492C" w14:paraId="2A2A8F9D" w14:textId="77777777" w:rsidTr="009F716A">
        <w:tc>
          <w:tcPr>
            <w:tcW w:w="822" w:type="pct"/>
            <w:shd w:val="clear" w:color="auto" w:fill="auto"/>
          </w:tcPr>
          <w:p w14:paraId="35621F81" w14:textId="77777777" w:rsidR="004F62F6" w:rsidRPr="0085492C" w:rsidRDefault="004F62F6" w:rsidP="004F62F6">
            <w:pPr>
              <w:numPr>
                <w:ilvl w:val="0"/>
                <w:numId w:val="45"/>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05F79A6" w14:textId="77777777" w:rsidR="004F62F6" w:rsidRPr="0085492C" w:rsidRDefault="004F62F6"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39CA8A5B" w14:textId="77777777" w:rsidR="004F62F6" w:rsidRPr="0085492C" w:rsidRDefault="004F62F6"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первого купонного периода является </w:t>
            </w:r>
            <w:r w:rsidRPr="00F80588">
              <w:rPr>
                <w:rFonts w:ascii="Times New Roman" w:hAnsi="Times New Roman"/>
                <w:sz w:val="24"/>
                <w:szCs w:val="24"/>
              </w:rPr>
              <w:t>182-й (Сто восемьдесят второй) день</w:t>
            </w:r>
            <w:r w:rsidRPr="0085492C">
              <w:rPr>
                <w:rFonts w:ascii="Times New Roman" w:hAnsi="Times New Roman"/>
                <w:sz w:val="24"/>
                <w:szCs w:val="24"/>
              </w:rPr>
              <w:t xml:space="preserve"> с даты начала размещения Биржевых облигаций.</w:t>
            </w:r>
          </w:p>
        </w:tc>
      </w:tr>
      <w:tr w:rsidR="004F62F6" w:rsidRPr="0085492C" w14:paraId="4AA2F332" w14:textId="77777777" w:rsidTr="009F716A">
        <w:tc>
          <w:tcPr>
            <w:tcW w:w="822" w:type="pct"/>
            <w:shd w:val="clear" w:color="auto" w:fill="auto"/>
          </w:tcPr>
          <w:p w14:paraId="3DD4499C" w14:textId="77777777" w:rsidR="004F62F6" w:rsidRPr="0085492C" w:rsidRDefault="004F62F6" w:rsidP="004F62F6">
            <w:pPr>
              <w:numPr>
                <w:ilvl w:val="0"/>
                <w:numId w:val="45"/>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418BBC4" w14:textId="77777777" w:rsidR="004F62F6" w:rsidRPr="0085492C" w:rsidRDefault="004F62F6"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второго купонного периода является </w:t>
            </w:r>
            <w:r w:rsidRPr="00F80588">
              <w:rPr>
                <w:rFonts w:ascii="Times New Roman" w:hAnsi="Times New Roman"/>
                <w:sz w:val="24"/>
                <w:szCs w:val="24"/>
              </w:rPr>
              <w:t>182-й (Сто восемьдесят второй)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13E81CBB" w14:textId="77777777" w:rsidR="004F62F6" w:rsidRPr="0085492C" w:rsidRDefault="004F62F6"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второго купонного периода является </w:t>
            </w:r>
            <w:r w:rsidRPr="00F80588">
              <w:rPr>
                <w:rFonts w:ascii="Times New Roman" w:hAnsi="Times New Roman"/>
                <w:sz w:val="24"/>
                <w:szCs w:val="24"/>
              </w:rPr>
              <w:t>364-й (Триста шестьдесят четвертый) день</w:t>
            </w:r>
            <w:r w:rsidRPr="0085492C">
              <w:rPr>
                <w:rFonts w:ascii="Times New Roman" w:hAnsi="Times New Roman"/>
                <w:sz w:val="24"/>
                <w:szCs w:val="24"/>
              </w:rPr>
              <w:t xml:space="preserve"> с даты начала размещения Биржевых облигаций.</w:t>
            </w:r>
          </w:p>
        </w:tc>
      </w:tr>
      <w:tr w:rsidR="004F62F6" w:rsidRPr="0085492C" w14:paraId="16D9A452" w14:textId="77777777" w:rsidTr="009F716A">
        <w:tc>
          <w:tcPr>
            <w:tcW w:w="822" w:type="pct"/>
            <w:shd w:val="clear" w:color="auto" w:fill="auto"/>
          </w:tcPr>
          <w:p w14:paraId="6858A705" w14:textId="77777777" w:rsidR="004F62F6" w:rsidRPr="0085492C" w:rsidRDefault="004F62F6" w:rsidP="004F62F6">
            <w:pPr>
              <w:numPr>
                <w:ilvl w:val="0"/>
                <w:numId w:val="45"/>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C0C4D33" w14:textId="77777777" w:rsidR="004F62F6" w:rsidRPr="0085492C" w:rsidRDefault="004F62F6"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третьего купонного периода является </w:t>
            </w:r>
            <w:r w:rsidRPr="00F80588">
              <w:rPr>
                <w:rFonts w:ascii="Times New Roman" w:hAnsi="Times New Roman"/>
                <w:sz w:val="24"/>
                <w:szCs w:val="24"/>
              </w:rPr>
              <w:t>364-й (Триста шестьдесят четвертый)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6EFA63F5" w14:textId="77777777" w:rsidR="004F62F6" w:rsidRPr="0085492C" w:rsidRDefault="004F62F6"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третьего купонного периода является </w:t>
            </w:r>
            <w:r w:rsidRPr="00F80588">
              <w:rPr>
                <w:rFonts w:ascii="Times New Roman" w:hAnsi="Times New Roman"/>
                <w:sz w:val="24"/>
                <w:szCs w:val="24"/>
              </w:rPr>
              <w:t>546-й (Пятьсот сорок шестой) день</w:t>
            </w:r>
            <w:r w:rsidRPr="0085492C">
              <w:rPr>
                <w:rFonts w:ascii="Times New Roman" w:hAnsi="Times New Roman"/>
                <w:sz w:val="24"/>
                <w:szCs w:val="24"/>
              </w:rPr>
              <w:t xml:space="preserve"> с даты начала размещения Биржевых облигаций.</w:t>
            </w:r>
          </w:p>
        </w:tc>
      </w:tr>
      <w:tr w:rsidR="004F62F6" w:rsidRPr="0085492C" w14:paraId="4EA01E76" w14:textId="77777777" w:rsidTr="009F716A">
        <w:tc>
          <w:tcPr>
            <w:tcW w:w="822" w:type="pct"/>
            <w:shd w:val="clear" w:color="auto" w:fill="auto"/>
          </w:tcPr>
          <w:p w14:paraId="36818A13" w14:textId="77777777" w:rsidR="004F62F6" w:rsidRPr="0085492C" w:rsidRDefault="004F62F6" w:rsidP="004F62F6">
            <w:pPr>
              <w:numPr>
                <w:ilvl w:val="0"/>
                <w:numId w:val="45"/>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29ABBCB" w14:textId="77777777" w:rsidR="004F62F6" w:rsidRPr="0085492C" w:rsidRDefault="004F62F6"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четвертого купонного периода является </w:t>
            </w:r>
            <w:r w:rsidRPr="00F80588">
              <w:rPr>
                <w:rFonts w:ascii="Times New Roman" w:hAnsi="Times New Roman"/>
                <w:sz w:val="24"/>
                <w:szCs w:val="24"/>
              </w:rPr>
              <w:t>546-й (Пятьсот сорок шестой)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252319C3" w14:textId="77777777" w:rsidR="004F62F6" w:rsidRPr="0085492C" w:rsidRDefault="004F62F6"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четвертого купонного периода является </w:t>
            </w:r>
            <w:r w:rsidRPr="00F80588">
              <w:rPr>
                <w:rFonts w:ascii="Times New Roman" w:hAnsi="Times New Roman"/>
                <w:sz w:val="24"/>
                <w:szCs w:val="24"/>
              </w:rPr>
              <w:t>728-й (Семьсот двадцать восьмой) день</w:t>
            </w:r>
            <w:r w:rsidRPr="0085492C">
              <w:rPr>
                <w:rFonts w:ascii="Times New Roman" w:hAnsi="Times New Roman"/>
                <w:sz w:val="24"/>
                <w:szCs w:val="24"/>
              </w:rPr>
              <w:t xml:space="preserve"> с даты начала размещения Биржевых облигаций.</w:t>
            </w:r>
          </w:p>
        </w:tc>
      </w:tr>
      <w:tr w:rsidR="004F62F6" w:rsidRPr="0085492C" w14:paraId="2E89FB1C" w14:textId="77777777" w:rsidTr="009F716A">
        <w:tc>
          <w:tcPr>
            <w:tcW w:w="822" w:type="pct"/>
            <w:shd w:val="clear" w:color="auto" w:fill="auto"/>
          </w:tcPr>
          <w:p w14:paraId="6FBD7FCA" w14:textId="77777777" w:rsidR="004F62F6" w:rsidRPr="0085492C" w:rsidRDefault="004F62F6" w:rsidP="004F62F6">
            <w:pPr>
              <w:numPr>
                <w:ilvl w:val="0"/>
                <w:numId w:val="45"/>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53DC49F0" w14:textId="77777777" w:rsidR="004F62F6" w:rsidRPr="0085492C" w:rsidRDefault="004F62F6"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пятого купонного периода является </w:t>
            </w:r>
            <w:r w:rsidRPr="00F80588">
              <w:rPr>
                <w:rFonts w:ascii="Times New Roman" w:hAnsi="Times New Roman"/>
                <w:sz w:val="24"/>
                <w:szCs w:val="24"/>
              </w:rPr>
              <w:t>728-й (Семьсот двадцать восьмой)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450D6935" w14:textId="77777777" w:rsidR="004F62F6" w:rsidRPr="0085492C" w:rsidRDefault="004F62F6"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пятого купонного периода является </w:t>
            </w:r>
            <w:r w:rsidRPr="00F80588">
              <w:rPr>
                <w:rFonts w:ascii="Times New Roman" w:hAnsi="Times New Roman"/>
                <w:sz w:val="24"/>
                <w:szCs w:val="24"/>
              </w:rPr>
              <w:t>910-й (Девятьсот десятый) день</w:t>
            </w:r>
            <w:r w:rsidRPr="0085492C">
              <w:rPr>
                <w:rFonts w:ascii="Times New Roman" w:hAnsi="Times New Roman"/>
                <w:sz w:val="24"/>
                <w:szCs w:val="24"/>
              </w:rPr>
              <w:t xml:space="preserve"> с даты начала размещения Биржевых облигаций.</w:t>
            </w:r>
          </w:p>
        </w:tc>
      </w:tr>
      <w:tr w:rsidR="004F62F6" w:rsidRPr="0085492C" w14:paraId="3BE6A589" w14:textId="77777777" w:rsidTr="009F716A">
        <w:tc>
          <w:tcPr>
            <w:tcW w:w="822" w:type="pct"/>
            <w:shd w:val="clear" w:color="auto" w:fill="auto"/>
          </w:tcPr>
          <w:p w14:paraId="7E732760" w14:textId="77777777" w:rsidR="004F62F6" w:rsidRPr="0085492C" w:rsidRDefault="004F62F6" w:rsidP="004F62F6">
            <w:pPr>
              <w:numPr>
                <w:ilvl w:val="0"/>
                <w:numId w:val="45"/>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2BA95A6" w14:textId="77777777" w:rsidR="004F62F6" w:rsidRPr="0085492C" w:rsidRDefault="004F62F6"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шестого купонного периода является </w:t>
            </w:r>
            <w:r w:rsidRPr="00F80588">
              <w:rPr>
                <w:rFonts w:ascii="Times New Roman" w:hAnsi="Times New Roman"/>
                <w:sz w:val="24"/>
                <w:szCs w:val="24"/>
              </w:rPr>
              <w:t>910-й (Девятьсот десятый)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6B0BB9E0" w14:textId="77777777" w:rsidR="004F62F6" w:rsidRPr="0085492C" w:rsidRDefault="004F62F6"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шестого купонного периода является </w:t>
            </w:r>
            <w:r w:rsidRPr="00F80588">
              <w:rPr>
                <w:rFonts w:ascii="Times New Roman" w:hAnsi="Times New Roman"/>
                <w:sz w:val="24"/>
                <w:szCs w:val="24"/>
              </w:rPr>
              <w:t>1092-й (Одна тысяча девяносто второй) день</w:t>
            </w:r>
            <w:r w:rsidRPr="0085492C">
              <w:rPr>
                <w:rFonts w:ascii="Times New Roman" w:hAnsi="Times New Roman"/>
                <w:sz w:val="24"/>
                <w:szCs w:val="24"/>
              </w:rPr>
              <w:t xml:space="preserve"> с даты начала размещения Биржевых облигаций.</w:t>
            </w:r>
          </w:p>
        </w:tc>
      </w:tr>
      <w:tr w:rsidR="004F62F6" w:rsidRPr="0085492C" w14:paraId="79A79834" w14:textId="77777777" w:rsidTr="009F716A">
        <w:tc>
          <w:tcPr>
            <w:tcW w:w="822" w:type="pct"/>
            <w:shd w:val="clear" w:color="auto" w:fill="auto"/>
          </w:tcPr>
          <w:p w14:paraId="1A69469F" w14:textId="77777777" w:rsidR="004F62F6" w:rsidRPr="0085492C" w:rsidRDefault="004F62F6" w:rsidP="004F62F6">
            <w:pPr>
              <w:numPr>
                <w:ilvl w:val="0"/>
                <w:numId w:val="45"/>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53C71109" w14:textId="77777777" w:rsidR="004F62F6" w:rsidRPr="0085492C" w:rsidRDefault="004F62F6"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седьмого купонного периода является </w:t>
            </w:r>
            <w:r w:rsidRPr="00F80588">
              <w:rPr>
                <w:rFonts w:ascii="Times New Roman" w:hAnsi="Times New Roman"/>
                <w:sz w:val="24"/>
                <w:szCs w:val="24"/>
              </w:rPr>
              <w:t>1092-й (Одна тысяча девяносто второй)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16E566DB" w14:textId="77777777" w:rsidR="004F62F6" w:rsidRPr="0085492C" w:rsidRDefault="004F62F6"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седьмого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r>
      <w:tr w:rsidR="004F62F6" w:rsidRPr="0085492C" w14:paraId="538C6E65" w14:textId="77777777" w:rsidTr="009F716A">
        <w:tc>
          <w:tcPr>
            <w:tcW w:w="822" w:type="pct"/>
            <w:shd w:val="clear" w:color="auto" w:fill="auto"/>
          </w:tcPr>
          <w:p w14:paraId="2D86E905" w14:textId="77777777" w:rsidR="004F62F6" w:rsidRPr="0085492C" w:rsidRDefault="004F62F6" w:rsidP="004F62F6">
            <w:pPr>
              <w:numPr>
                <w:ilvl w:val="0"/>
                <w:numId w:val="45"/>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BA62E79" w14:textId="77777777" w:rsidR="004F62F6" w:rsidRPr="0085492C" w:rsidRDefault="004F62F6"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восьмого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2151A0A4" w14:textId="77777777" w:rsidR="004F62F6" w:rsidRPr="0085492C" w:rsidRDefault="004F62F6"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восьмого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r>
      <w:tr w:rsidR="004F62F6" w:rsidRPr="0085492C" w14:paraId="15BD8571" w14:textId="77777777" w:rsidTr="009F716A">
        <w:tc>
          <w:tcPr>
            <w:tcW w:w="822" w:type="pct"/>
            <w:shd w:val="clear" w:color="auto" w:fill="auto"/>
          </w:tcPr>
          <w:p w14:paraId="4D740915" w14:textId="77777777" w:rsidR="004F62F6" w:rsidRPr="0085492C" w:rsidRDefault="004F62F6" w:rsidP="004F62F6">
            <w:pPr>
              <w:numPr>
                <w:ilvl w:val="0"/>
                <w:numId w:val="45"/>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778D5626" w14:textId="77777777" w:rsidR="004F62F6" w:rsidRPr="0085492C" w:rsidRDefault="004F62F6"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девятого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42EE2C0" w14:textId="77777777" w:rsidR="004F62F6" w:rsidRPr="0085492C" w:rsidRDefault="004F62F6"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девятого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r>
      <w:tr w:rsidR="004F62F6" w:rsidRPr="0085492C" w14:paraId="56FB0B27" w14:textId="77777777" w:rsidTr="009F716A">
        <w:tc>
          <w:tcPr>
            <w:tcW w:w="822" w:type="pct"/>
            <w:shd w:val="clear" w:color="auto" w:fill="auto"/>
          </w:tcPr>
          <w:p w14:paraId="22B5018A" w14:textId="77777777" w:rsidR="004F62F6" w:rsidRPr="0085492C" w:rsidRDefault="004F62F6" w:rsidP="004F62F6">
            <w:pPr>
              <w:numPr>
                <w:ilvl w:val="0"/>
                <w:numId w:val="45"/>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508DB89" w14:textId="77777777" w:rsidR="004F62F6" w:rsidRPr="0085492C" w:rsidRDefault="004F62F6"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десятого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FDAC66D" w14:textId="77777777" w:rsidR="004F62F6" w:rsidRPr="0085492C" w:rsidRDefault="004F62F6"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десятого купонного периода является </w:t>
            </w:r>
            <w:r w:rsidRPr="00F80588">
              <w:rPr>
                <w:rFonts w:ascii="Times New Roman" w:hAnsi="Times New Roman"/>
                <w:sz w:val="24"/>
                <w:szCs w:val="24"/>
              </w:rPr>
              <w:t>1820-й (Одна тысяча восемьсот двадцатый) день</w:t>
            </w:r>
            <w:r w:rsidRPr="0085492C">
              <w:rPr>
                <w:rFonts w:ascii="Times New Roman" w:hAnsi="Times New Roman"/>
                <w:sz w:val="24"/>
                <w:szCs w:val="24"/>
              </w:rPr>
              <w:t xml:space="preserve"> с даты начала размещения Биржевых облигаций.</w:t>
            </w:r>
          </w:p>
        </w:tc>
      </w:tr>
    </w:tbl>
    <w:p w14:paraId="77E7C2E9" w14:textId="77777777" w:rsidR="004F62F6" w:rsidRPr="0085492C" w:rsidRDefault="004F62F6" w:rsidP="004F62F6">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lastRenderedPageBreak/>
        <w:t>Размер купонного дохода или порядок его определения:</w:t>
      </w:r>
    </w:p>
    <w:p w14:paraId="112D6C7E" w14:textId="77777777" w:rsidR="004F62F6" w:rsidRPr="00B61BE1"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Величина купонного дохода (величина КД) за соответствующий купонный период определяется по формуле, указанной в пункте 9.3 Программы. </w:t>
      </w:r>
    </w:p>
    <w:p w14:paraId="16A7DD64" w14:textId="77777777" w:rsidR="004F62F6" w:rsidRPr="0085492C"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При этом размер процентной ставки купонного дохода на все купонные периоды (величина Cj) устанавливается равным 0,01% (ноль целых одна сотая процента) годовых.</w:t>
      </w:r>
    </w:p>
    <w:p w14:paraId="559EF063" w14:textId="5CFCB599" w:rsidR="004F62F6" w:rsidRPr="0085492C" w:rsidRDefault="004F62F6" w:rsidP="004F62F6">
      <w:pPr>
        <w:autoSpaceDE w:val="0"/>
        <w:autoSpaceDN w:val="0"/>
        <w:adjustRightInd w:val="0"/>
        <w:spacing w:before="120" w:after="120" w:line="240" w:lineRule="auto"/>
        <w:ind w:firstLine="540"/>
        <w:jc w:val="both"/>
        <w:rPr>
          <w:rFonts w:ascii="Times New Roman" w:hAnsi="Times New Roman"/>
          <w:b/>
          <w:bCs/>
          <w:i/>
          <w:iCs/>
          <w:sz w:val="24"/>
          <w:szCs w:val="24"/>
          <w:u w:val="single"/>
        </w:rPr>
      </w:pPr>
      <w:r>
        <w:rPr>
          <w:rFonts w:ascii="Times New Roman" w:hAnsi="Times New Roman"/>
          <w:b/>
          <w:bCs/>
          <w:i/>
          <w:iCs/>
          <w:sz w:val="24"/>
          <w:szCs w:val="24"/>
          <w:u w:val="single"/>
        </w:rPr>
        <w:t>Б</w:t>
      </w:r>
      <w:r w:rsidRPr="0085492C">
        <w:rPr>
          <w:rFonts w:ascii="Times New Roman" w:hAnsi="Times New Roman"/>
          <w:b/>
          <w:bCs/>
          <w:i/>
          <w:iCs/>
          <w:sz w:val="24"/>
          <w:szCs w:val="24"/>
          <w:u w:val="single"/>
        </w:rPr>
        <w:t>) Дополнительный доход</w:t>
      </w:r>
    </w:p>
    <w:p w14:paraId="4D78EF17" w14:textId="77777777" w:rsidR="004F62F6" w:rsidRPr="0085492C"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Дополнительный доход является процентным доходом по Биржевым облигациям, определяемым как процент от непогашенной части номинальной стоимости Биржевых облигаций и рассчитываемым исходя из сложившихся цен </w:t>
      </w:r>
      <w:r w:rsidRPr="0085492C">
        <w:rPr>
          <w:rFonts w:ascii="Times New Roman" w:hAnsi="Times New Roman"/>
          <w:b/>
          <w:bCs/>
          <w:i/>
          <w:iCs/>
          <w:sz w:val="24"/>
          <w:szCs w:val="24"/>
        </w:rPr>
        <w:t>Референсного актива (активов)</w:t>
      </w:r>
      <w:r w:rsidRPr="0085492C">
        <w:rPr>
          <w:rFonts w:ascii="Times New Roman" w:hAnsi="Times New Roman"/>
          <w:bCs/>
          <w:iCs/>
          <w:sz w:val="24"/>
          <w:szCs w:val="24"/>
        </w:rPr>
        <w:t xml:space="preserve">. </w:t>
      </w:r>
    </w:p>
    <w:p w14:paraId="33791920" w14:textId="77777777" w:rsidR="004F62F6" w:rsidRPr="0085492C"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Референсный актив (активы)</w:t>
      </w:r>
      <w:r w:rsidRPr="0085492C">
        <w:rPr>
          <w:bCs/>
          <w:iCs/>
          <w:sz w:val="24"/>
          <w:szCs w:val="24"/>
        </w:rPr>
        <w:t xml:space="preserve"> </w:t>
      </w:r>
      <w:r w:rsidRPr="0085492C">
        <w:rPr>
          <w:rFonts w:ascii="Times New Roman" w:hAnsi="Times New Roman"/>
          <w:bCs/>
          <w:iCs/>
          <w:sz w:val="24"/>
          <w:szCs w:val="24"/>
        </w:rPr>
        <w:t>– одна или несколько переменных, значения которых не зависят от усмотрения Эмитента (при этом может предусматриваться, что принимается во внимание минимальное и/или максимальное и/или среднее значение среди тех или иных значений Референсного актива (активов) и/или иной порядок выбора из нескольких значений).</w:t>
      </w:r>
    </w:p>
    <w:p w14:paraId="47C5BD50" w14:textId="77777777" w:rsidR="004F62F6" w:rsidRPr="0085492C"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Дата начала и дата окончания каждого периода дополнительного дохода совпадают соответственно с датой начала и датой окончания каждого купонного периода.</w:t>
      </w:r>
    </w:p>
    <w:p w14:paraId="07FC73FE" w14:textId="77777777" w:rsidR="004F62F6" w:rsidRPr="00FA4BD6"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Размер (порядок определения размера) дополнительного дохода устанавливается решением Эмитента до даты начала размещения Биржевых облигаций.</w:t>
      </w:r>
    </w:p>
    <w:p w14:paraId="7AFA8726" w14:textId="77777777" w:rsidR="004F62F6" w:rsidRPr="00A1251E"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A1251E">
        <w:rPr>
          <w:rFonts w:ascii="Times New Roman" w:hAnsi="Times New Roman"/>
          <w:bCs/>
          <w:iCs/>
          <w:sz w:val="24"/>
          <w:szCs w:val="24"/>
        </w:rPr>
        <w:t xml:space="preserve">Информация о </w:t>
      </w:r>
      <w:r w:rsidRPr="009A576E">
        <w:rPr>
          <w:rFonts w:ascii="Times New Roman" w:hAnsi="Times New Roman"/>
          <w:bCs/>
          <w:iCs/>
          <w:sz w:val="24"/>
          <w:szCs w:val="24"/>
        </w:rPr>
        <w:t>размере (</w:t>
      </w:r>
      <w:r w:rsidRPr="00A1251E">
        <w:rPr>
          <w:rFonts w:ascii="Times New Roman" w:hAnsi="Times New Roman"/>
          <w:bCs/>
          <w:iCs/>
          <w:sz w:val="24"/>
          <w:szCs w:val="24"/>
        </w:rPr>
        <w:t>порядке определения размера</w:t>
      </w:r>
      <w:r w:rsidRPr="009A576E">
        <w:rPr>
          <w:rFonts w:ascii="Times New Roman" w:hAnsi="Times New Roman"/>
          <w:bCs/>
          <w:iCs/>
          <w:sz w:val="24"/>
          <w:szCs w:val="24"/>
        </w:rPr>
        <w:t>)</w:t>
      </w:r>
      <w:r w:rsidRPr="00A1251E">
        <w:rPr>
          <w:rFonts w:ascii="Times New Roman" w:hAnsi="Times New Roman"/>
          <w:bCs/>
          <w:iCs/>
          <w:sz w:val="24"/>
          <w:szCs w:val="24"/>
        </w:rPr>
        <w:t xml:space="preserve"> дополнительного дохода раскрывается Эмитентом в соответствии с п.11 Программы.</w:t>
      </w:r>
    </w:p>
    <w:p w14:paraId="781FBFA0" w14:textId="77777777" w:rsidR="004F62F6" w:rsidRPr="0085492C"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На величину дополнительного дохода влияет:</w:t>
      </w:r>
    </w:p>
    <w:p w14:paraId="75076305" w14:textId="77777777" w:rsidR="004F62F6" w:rsidRPr="0085492C"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1) наступление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bCs/>
          <w:iCs/>
          <w:sz w:val="24"/>
          <w:szCs w:val="24"/>
        </w:rPr>
        <w:t xml:space="preserve"> (как этот термин определен ниже).</w:t>
      </w:r>
    </w:p>
    <w:p w14:paraId="376EA76F" w14:textId="77777777" w:rsidR="004F62F6" w:rsidRPr="0085492C"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наступления</w:t>
      </w:r>
      <w:r w:rsidRPr="0085492C">
        <w:rPr>
          <w:rFonts w:ascii="Times New Roman" w:hAnsi="Times New Roman" w:cs="Times New Roman"/>
          <w:sz w:val="24"/>
          <w:szCs w:val="24"/>
        </w:rPr>
        <w:t xml:space="preserve">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Расчетный агент на основании публичной информации и/или разумных и коммерчески обоснованных предположений Расчетного агента в отношении Референсных активов определяет значения Референсных активов.</w:t>
      </w:r>
    </w:p>
    <w:p w14:paraId="2B1A2777" w14:textId="77777777" w:rsidR="004F62F6" w:rsidRPr="0085492C" w:rsidRDefault="004F62F6" w:rsidP="004F62F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Трансформация Референсного актива</w:t>
      </w:r>
      <w:r w:rsidRPr="0085492C">
        <w:rPr>
          <w:rFonts w:ascii="Times New Roman" w:hAnsi="Times New Roman" w:cs="Times New Roman"/>
          <w:sz w:val="24"/>
          <w:szCs w:val="24"/>
        </w:rPr>
        <w:t xml:space="preserve"> – означает 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2568C76A" w14:textId="77777777" w:rsidR="004F62F6" w:rsidRPr="0085492C" w:rsidRDefault="004F62F6" w:rsidP="004F62F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определяется Расчетным агентом на основании публичной информации и/или разумных и коммерчески обоснованных предположений Расчетного агента в отношении Референсных активов. Датой наступления Трансформации Референсного актива является дата получения Эмитентом от Расчетного агента уведомления о наступлении Трансформации Референсного актива и о значении Референсного актива (активов), определенного Расчетным агентом в результате наступления Трансформации Референсного актива. </w:t>
      </w:r>
    </w:p>
    <w:p w14:paraId="3FB6F66A" w14:textId="77777777" w:rsidR="004F62F6" w:rsidRPr="00C76D1F" w:rsidRDefault="004F62F6" w:rsidP="004F62F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раскрывается Эмитентом </w:t>
      </w:r>
      <w:r w:rsidRPr="00C76D1F">
        <w:rPr>
          <w:rFonts w:ascii="Times New Roman" w:hAnsi="Times New Roman" w:cs="Times New Roman"/>
          <w:sz w:val="24"/>
          <w:szCs w:val="24"/>
        </w:rPr>
        <w:t>в форме сообщения о существенном факте в следующие сроки с даты наступления Трансформации Референсного актива (даты получения Эмитентом от Расчетного агента уведомления о наступлении Трансформации Референсного актива):</w:t>
      </w:r>
    </w:p>
    <w:p w14:paraId="6918103B" w14:textId="77777777" w:rsidR="004F62F6" w:rsidRPr="00C76D1F" w:rsidRDefault="004F62F6" w:rsidP="004F62F6">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5B338B76" w14:textId="77777777" w:rsidR="004F62F6" w:rsidRPr="00C76D1F" w:rsidRDefault="004F62F6" w:rsidP="004F62F6">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637A1A83" w14:textId="77777777" w:rsidR="004F62F6" w:rsidRPr="00C76D1F" w:rsidRDefault="004F62F6" w:rsidP="004F62F6">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5E57FBF7" w14:textId="77777777" w:rsidR="004F62F6" w:rsidRPr="0085492C" w:rsidRDefault="004F62F6" w:rsidP="004F62F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lastRenderedPageBreak/>
        <w:t>Информация о величине дополнительного дохода, рассчитанного в результате наступления Трансформации Референсного актива, раскрывается Эмитентом в порядке и сроки, установленные подпунктом 23.3 (2) пункта 11 Программы.</w:t>
      </w:r>
    </w:p>
    <w:p w14:paraId="706A0D8A" w14:textId="77777777" w:rsidR="004F62F6" w:rsidRPr="0085492C" w:rsidRDefault="004F62F6" w:rsidP="004F62F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 xml:space="preserve">2) наступление </w:t>
      </w:r>
      <w:r w:rsidRPr="0085492C">
        <w:rPr>
          <w:rFonts w:ascii="Times New Roman" w:hAnsi="Times New Roman"/>
          <w:b/>
          <w:bCs/>
          <w:i/>
          <w:iCs/>
          <w:sz w:val="24"/>
          <w:szCs w:val="24"/>
        </w:rPr>
        <w:t>Особого обстоятельства</w:t>
      </w:r>
      <w:r w:rsidRPr="0085492C">
        <w:rPr>
          <w:rFonts w:ascii="Times New Roman" w:hAnsi="Times New Roman"/>
          <w:bCs/>
          <w:iCs/>
          <w:sz w:val="24"/>
          <w:szCs w:val="24"/>
        </w:rPr>
        <w:t xml:space="preserve"> (как этот термин определен ниже).</w:t>
      </w:r>
    </w:p>
    <w:p w14:paraId="2F966D08" w14:textId="77777777" w:rsidR="004F62F6" w:rsidRPr="0085492C" w:rsidRDefault="004F62F6" w:rsidP="004F62F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В случае, если в течение срока обращения Биржевых облигаций в отношении любого Референсного актива, цена которого используется для определения величины дополнительного дохода, и (или) Эмитента наступает </w:t>
      </w: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то дополнительный доход</w:t>
      </w:r>
      <w:r w:rsidRPr="0085492C">
        <w:rPr>
          <w:rFonts w:ascii="Times New Roman" w:hAnsi="Times New Roman"/>
          <w:sz w:val="24"/>
        </w:rPr>
        <w:t xml:space="preserve"> за </w:t>
      </w:r>
      <w:r w:rsidRPr="0085492C">
        <w:rPr>
          <w:rFonts w:ascii="Times New Roman" w:hAnsi="Times New Roman" w:cs="Times New Roman"/>
          <w:sz w:val="24"/>
          <w:szCs w:val="24"/>
        </w:rPr>
        <w:t>соответствующий период не выплачивается</w:t>
      </w:r>
      <w:r w:rsidRPr="0085492C">
        <w:rPr>
          <w:rFonts w:ascii="Times New Roman" w:hAnsi="Times New Roman" w:cs="Times New Roman"/>
          <w:color w:val="000000"/>
          <w:sz w:val="24"/>
          <w:szCs w:val="24"/>
        </w:rPr>
        <w:t xml:space="preserve">. После наступления </w:t>
      </w:r>
      <w:r w:rsidRPr="0085492C">
        <w:rPr>
          <w:rFonts w:ascii="Times New Roman" w:hAnsi="Times New Roman" w:cs="Times New Roman"/>
          <w:b/>
          <w:i/>
          <w:color w:val="000000"/>
          <w:sz w:val="24"/>
          <w:szCs w:val="24"/>
        </w:rPr>
        <w:t xml:space="preserve">Особого обстоятельства </w:t>
      </w:r>
      <w:r w:rsidRPr="0085492C">
        <w:rPr>
          <w:rFonts w:ascii="Times New Roman" w:hAnsi="Times New Roman" w:cs="Times New Roman"/>
          <w:color w:val="000000"/>
          <w:sz w:val="24"/>
          <w:szCs w:val="24"/>
        </w:rPr>
        <w:t>дополнительный доход не начисляется и не выплачивается.</w:t>
      </w:r>
    </w:p>
    <w:p w14:paraId="38E19629" w14:textId="77777777" w:rsidR="004F62F6" w:rsidRPr="0085492C" w:rsidRDefault="004F62F6" w:rsidP="004F62F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xml:space="preserve"> означает Изменение законодательства, Невозможность хеджирования и Увеличение расходов на хеджирование.</w:t>
      </w:r>
    </w:p>
    <w:p w14:paraId="414A7CF5" w14:textId="77777777" w:rsidR="004F62F6" w:rsidRPr="0085492C" w:rsidRDefault="004F62F6" w:rsidP="004F62F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 xml:space="preserve">В случае, если Референсным активом (активами) являются долевые ценные бумаги (обыкновенные акции, привилегированные акции), то </w:t>
      </w:r>
      <w:r w:rsidRPr="0085492C">
        <w:rPr>
          <w:rFonts w:ascii="Times New Roman" w:hAnsi="Times New Roman"/>
          <w:b/>
          <w:bCs/>
          <w:i/>
          <w:iCs/>
          <w:sz w:val="24"/>
          <w:szCs w:val="24"/>
        </w:rPr>
        <w:t>Особым обстоятельством</w:t>
      </w:r>
      <w:r w:rsidRPr="0085492C">
        <w:rPr>
          <w:rFonts w:ascii="Times New Roman" w:hAnsi="Times New Roman"/>
          <w:bCs/>
          <w:iCs/>
          <w:sz w:val="24"/>
          <w:szCs w:val="24"/>
        </w:rPr>
        <w:t xml:space="preserve"> дополнительно являются также </w:t>
      </w:r>
      <w:r w:rsidRPr="0085492C">
        <w:rPr>
          <w:rFonts w:ascii="Times New Roman" w:hAnsi="Times New Roman" w:cs="Times New Roman"/>
          <w:sz w:val="24"/>
          <w:szCs w:val="24"/>
        </w:rPr>
        <w:t xml:space="preserve">Реорганизация, Приобретение по публичной оферте, Национализация, Делистинг, Корпоративное событие, наступление которого препятствует или может препятствовать определению величины дополнительного дохода. </w:t>
      </w:r>
    </w:p>
    <w:p w14:paraId="61A8A994" w14:textId="77777777" w:rsidR="004F62F6" w:rsidRPr="0085492C" w:rsidRDefault="004F62F6" w:rsidP="004F62F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 xml:space="preserve"> определяется Расчетным агентом на основании публичной информации и/или разумных и коммерчески обоснованных предположений Расчетного агента в отношении состояния рынка, Референсных активов и Эмитента. Датой наступления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w:t>
      </w:r>
    </w:p>
    <w:p w14:paraId="1E7E8628" w14:textId="77777777" w:rsidR="004F62F6" w:rsidRPr="0085492C" w:rsidRDefault="004F62F6" w:rsidP="004F62F6">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Изменение законодательства</w:t>
      </w:r>
      <w:r w:rsidRPr="0085492C">
        <w:rPr>
          <w:rFonts w:ascii="Times New Roman" w:hAnsi="Times New Roman" w:cs="Times New Roman"/>
          <w:sz w:val="24"/>
          <w:szCs w:val="24"/>
        </w:rPr>
        <w:t xml:space="preserve"> – (аа)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76ED7BE1" w14:textId="77777777" w:rsidR="004F62F6" w:rsidRPr="0085492C" w:rsidRDefault="004F62F6" w:rsidP="004F62F6">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Невозможность хеджирования</w:t>
      </w:r>
      <w:r w:rsidRPr="0085492C">
        <w:rPr>
          <w:rFonts w:ascii="Times New Roman" w:hAnsi="Times New Roman" w:cs="Times New Roman"/>
          <w:sz w:val="24"/>
          <w:szCs w:val="24"/>
        </w:rPr>
        <w:t xml:space="preserve"> – ситуация, когда Эмитент не может, добросовестно предприняв все разумные усилия заключить, изменить или расторгнуть сделку по хеджированию риска изменения цены Референсного актива;</w:t>
      </w:r>
    </w:p>
    <w:p w14:paraId="0FB64E4B" w14:textId="77777777" w:rsidR="004F62F6" w:rsidRPr="0085492C" w:rsidRDefault="004F62F6" w:rsidP="004F62F6">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Увеличение расходов на хеджирование</w:t>
      </w:r>
      <w:r w:rsidRPr="0085492C">
        <w:rPr>
          <w:rFonts w:ascii="Times New Roman" w:hAnsi="Times New Roman" w:cs="Times New Roman"/>
          <w:sz w:val="24"/>
          <w:szCs w:val="24"/>
        </w:rPr>
        <w:t xml:space="preserve"> – означает увеличение (по сравнению с обстоятельствами, существовавшими на дату размещения Биржевых облигаций) затрат Эмитента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Референсного актива; при этом увеличение затрат, вызванное ухудшением платежеспособности Эмитента, не является Увеличением расходов на хеджирование;</w:t>
      </w:r>
    </w:p>
    <w:p w14:paraId="5FE647EB" w14:textId="77777777" w:rsidR="004F62F6" w:rsidRPr="0085492C" w:rsidRDefault="004F62F6" w:rsidP="004F62F6">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 xml:space="preserve">Реорганизация </w:t>
      </w:r>
      <w:r w:rsidRPr="0085492C">
        <w:rPr>
          <w:rFonts w:ascii="Times New Roman" w:hAnsi="Times New Roman" w:cs="Times New Roman"/>
          <w:sz w:val="24"/>
          <w:szCs w:val="24"/>
        </w:rPr>
        <w:t>означает применительно к Референсному активу: (А) конвертацию или обмен Референсного актива, в результате которого происходит передача или возникает обязанность передать все акции, находящиеся в обращении, третьему лицу или лицам; (Б) присоединение эмитента Референсного актива к другому юридическому лицу или слияние эмитента Референсного актива с одним или более юридическими лицами, преобразование эмитента Референсного актива; (В) требование о выкупе, добровольное или обязательное предложение,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акций эмитента Референсного</w:t>
      </w:r>
      <w:r w:rsidRPr="0085492C" w:rsidDel="00F428EA">
        <w:rPr>
          <w:rFonts w:ascii="Times New Roman" w:hAnsi="Times New Roman" w:cs="Times New Roman"/>
          <w:sz w:val="24"/>
          <w:szCs w:val="24"/>
        </w:rPr>
        <w:t xml:space="preserve"> </w:t>
      </w:r>
      <w:r w:rsidRPr="0085492C">
        <w:rPr>
          <w:rFonts w:ascii="Times New Roman" w:hAnsi="Times New Roman" w:cs="Times New Roman"/>
          <w:sz w:val="24"/>
          <w:szCs w:val="24"/>
        </w:rPr>
        <w:t xml:space="preserve">актива, в результате которого </w:t>
      </w:r>
      <w:r w:rsidRPr="0085492C">
        <w:rPr>
          <w:rFonts w:ascii="Times New Roman" w:hAnsi="Times New Roman" w:cs="Times New Roman"/>
          <w:sz w:val="24"/>
          <w:szCs w:val="24"/>
        </w:rPr>
        <w:lastRenderedPageBreak/>
        <w:t>происходит передача или возникает обязанность передать такому лицу все указанные акции (кроме акций, принадлежащих такому лицу напрямую или контролируемых им через третьих лиц); (Г) увеличение или уменьшение акционерного капитала эмитента Референсного актива, в том числе путем дробления или консолидации акций; (Д) изменение основных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p>
    <w:p w14:paraId="2061F6D0" w14:textId="77777777" w:rsidR="004F62F6" w:rsidRPr="0085492C" w:rsidRDefault="004F62F6" w:rsidP="004F62F6">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Приобретение по публичной оферте</w:t>
      </w:r>
      <w:r w:rsidRPr="0085492C">
        <w:t xml:space="preserve"> – </w:t>
      </w:r>
      <w:r w:rsidRPr="0085492C">
        <w:rPr>
          <w:rFonts w:ascii="Times New Roman" w:hAnsi="Times New Roman" w:cs="Times New Roman"/>
          <w:sz w:val="24"/>
          <w:szCs w:val="24"/>
        </w:rPr>
        <w:t>означает 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 находящихся в обращении голосующих акций эмитента Референсного актива</w:t>
      </w:r>
      <w:r w:rsidRPr="0085492C">
        <w:t>;</w:t>
      </w:r>
    </w:p>
    <w:p w14:paraId="69464760" w14:textId="77777777" w:rsidR="004F62F6" w:rsidRPr="0085492C" w:rsidRDefault="004F62F6" w:rsidP="004F62F6">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Национализация</w:t>
      </w:r>
      <w:r w:rsidRPr="0085492C">
        <w:t xml:space="preserve"> – </w:t>
      </w:r>
      <w:r w:rsidRPr="0085492C">
        <w:rPr>
          <w:rFonts w:ascii="Times New Roman" w:hAnsi="Times New Roman" w:cs="Times New Roman"/>
          <w:sz w:val="24"/>
          <w:szCs w:val="24"/>
        </w:rPr>
        <w:t>ситуация, когда все Референсные активы и (или) имущество эмитента Референсного актива национализированы, реквизированы, конфискованы или по иным основаниям подлежат обращению в государственную собственность и/или собственность лиц, определяемых государством;</w:t>
      </w:r>
      <w:r w:rsidRPr="0085492C">
        <w:t xml:space="preserve"> </w:t>
      </w:r>
    </w:p>
    <w:p w14:paraId="482D2875" w14:textId="77777777" w:rsidR="004F62F6" w:rsidRPr="0085492C" w:rsidRDefault="004F62F6" w:rsidP="004F62F6">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Делистинг –</w:t>
      </w:r>
      <w:r w:rsidRPr="0085492C">
        <w:t xml:space="preserve"> </w:t>
      </w:r>
      <w:r w:rsidRPr="0085492C">
        <w:rPr>
          <w:rFonts w:ascii="Times New Roman" w:hAnsi="Times New Roman" w:cs="Times New Roman"/>
          <w:sz w:val="24"/>
          <w:szCs w:val="24"/>
        </w:rPr>
        <w:t>ситуация, когда ПАО Московская Биржа</w:t>
      </w:r>
      <w:r w:rsidRPr="00A7605B">
        <w:rPr>
          <w:rFonts w:ascii="Times New Roman" w:hAnsi="Times New Roman" w:cs="Times New Roman"/>
          <w:sz w:val="24"/>
          <w:szCs w:val="24"/>
        </w:rPr>
        <w:t xml:space="preserve"> либо иная биржа, на которой происходит обращение Референсного актива,</w:t>
      </w:r>
      <w:r w:rsidRPr="0085492C">
        <w:rPr>
          <w:rFonts w:ascii="Times New Roman" w:hAnsi="Times New Roman" w:cs="Times New Roman"/>
          <w:sz w:val="24"/>
          <w:szCs w:val="24"/>
        </w:rPr>
        <w:t xml:space="preserve"> объявляет о том, что в соответствии с ее правилами любой из или все Референсные активы исключаются или подлежат исключению из списка ценных бумаг, допущенных к торгам </w:t>
      </w:r>
      <w:r w:rsidRPr="00A7605B">
        <w:rPr>
          <w:rFonts w:ascii="Times New Roman" w:hAnsi="Times New Roman" w:cs="Times New Roman"/>
          <w:sz w:val="24"/>
          <w:szCs w:val="24"/>
        </w:rPr>
        <w:t>на такой бирже</w:t>
      </w:r>
      <w:r w:rsidRPr="0085492C">
        <w:rPr>
          <w:rFonts w:ascii="Times New Roman" w:hAnsi="Times New Roman" w:cs="Times New Roman"/>
          <w:sz w:val="24"/>
          <w:szCs w:val="24"/>
        </w:rPr>
        <w:t>, торги этими Референсными 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Референсных активов в списки допущенных к торгам ценных бумаг или их допуска к торгам иным образом на какой-либо иной бирже;</w:t>
      </w:r>
    </w:p>
    <w:p w14:paraId="0775F0A4" w14:textId="77777777" w:rsidR="004F62F6" w:rsidRPr="0085492C" w:rsidRDefault="004F62F6" w:rsidP="004F62F6">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sidRPr="0085492C">
        <w:rPr>
          <w:rFonts w:ascii="Times New Roman" w:hAnsi="Times New Roman" w:cs="Times New Roman"/>
          <w:b/>
          <w:i/>
          <w:sz w:val="24"/>
          <w:szCs w:val="24"/>
        </w:rPr>
        <w:t>Корпоративное событие –</w:t>
      </w:r>
      <w:r w:rsidRPr="0085492C">
        <w:rPr>
          <w:rFonts w:ascii="Times New Roman" w:hAnsi="Times New Roman" w:cs="Times New Roman"/>
          <w:sz w:val="24"/>
          <w:szCs w:val="24"/>
        </w:rPr>
        <w:t xml:space="preserve"> означает 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p>
    <w:p w14:paraId="529D78C7" w14:textId="77777777" w:rsidR="004F62F6" w:rsidRPr="00C76D1F" w:rsidRDefault="004F62F6" w:rsidP="004F62F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Особого обстоятельства</w:t>
      </w:r>
      <w:r>
        <w:rPr>
          <w:rFonts w:ascii="Times New Roman" w:hAnsi="Times New Roman" w:cs="Times New Roman"/>
          <w:sz w:val="24"/>
          <w:szCs w:val="24"/>
        </w:rPr>
        <w:t xml:space="preserve"> раскрывается Эмитентом</w:t>
      </w:r>
      <w:r w:rsidRPr="00C76D1F">
        <w:rPr>
          <w:rFonts w:ascii="Times New Roman" w:hAnsi="Times New Roman" w:cs="Times New Roman"/>
          <w:sz w:val="24"/>
          <w:szCs w:val="24"/>
        </w:rPr>
        <w:t xml:space="preserve"> в форме сообщения о существенном факте в следующие сроки с даты наступления Особого обстоятельства (даты получения Эмитентом от Расчетного агента уведомления о наступлении Особого обстоятельства):</w:t>
      </w:r>
    </w:p>
    <w:p w14:paraId="7E2F42C8" w14:textId="77777777" w:rsidR="004F62F6" w:rsidRPr="00C76D1F" w:rsidRDefault="004F62F6" w:rsidP="004F62F6">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7621E059" w14:textId="77777777" w:rsidR="004F62F6" w:rsidRPr="00C76D1F" w:rsidRDefault="004F62F6" w:rsidP="004F62F6">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0CA8B38A" w14:textId="77777777" w:rsidR="004F62F6" w:rsidRPr="00C76D1F" w:rsidRDefault="004F62F6" w:rsidP="004F62F6">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3EFC7CB1" w14:textId="76D45CC8" w:rsidR="004F62F6" w:rsidRPr="0085492C"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Иные сведения, подлежащие указанию в настоящем пункте, приведены в пункте 9.3 Программы.</w:t>
      </w:r>
      <w:r>
        <w:rPr>
          <w:rFonts w:ascii="Times New Roman" w:hAnsi="Times New Roman"/>
          <w:bCs/>
          <w:iCs/>
          <w:sz w:val="24"/>
          <w:szCs w:val="24"/>
        </w:rPr>
        <w:t>»</w:t>
      </w:r>
    </w:p>
    <w:p w14:paraId="068ABCBD" w14:textId="77777777" w:rsidR="007E0DF1" w:rsidRDefault="007E0DF1" w:rsidP="005A3AE5">
      <w:pPr>
        <w:autoSpaceDE w:val="0"/>
        <w:autoSpaceDN w:val="0"/>
        <w:adjustRightInd w:val="0"/>
        <w:spacing w:after="0" w:line="240" w:lineRule="auto"/>
        <w:jc w:val="both"/>
        <w:rPr>
          <w:rFonts w:ascii="Times New Roman" w:hAnsi="Times New Roman"/>
          <w:b/>
          <w:bCs/>
          <w:i/>
          <w:iCs/>
        </w:rPr>
      </w:pPr>
    </w:p>
    <w:p w14:paraId="7F6A21BA" w14:textId="25FDFC7C" w:rsidR="0095040D" w:rsidRPr="005A3AE5" w:rsidRDefault="0095040D" w:rsidP="005A3AE5">
      <w:pPr>
        <w:autoSpaceDE w:val="0"/>
        <w:autoSpaceDN w:val="0"/>
        <w:adjustRightInd w:val="0"/>
        <w:spacing w:after="0" w:line="240" w:lineRule="auto"/>
        <w:jc w:val="both"/>
        <w:rPr>
          <w:rFonts w:ascii="Times New Roman" w:hAnsi="Times New Roman"/>
          <w:b/>
          <w:u w:val="single"/>
        </w:rPr>
      </w:pPr>
      <w:r w:rsidRPr="005A3AE5">
        <w:rPr>
          <w:rFonts w:ascii="Times New Roman" w:hAnsi="Times New Roman"/>
          <w:b/>
          <w:u w:val="single"/>
        </w:rPr>
        <w:t xml:space="preserve">4. </w:t>
      </w:r>
      <w:r w:rsidR="004F62F6">
        <w:rPr>
          <w:rFonts w:ascii="Times New Roman" w:hAnsi="Times New Roman"/>
          <w:b/>
          <w:u w:val="single"/>
        </w:rPr>
        <w:t xml:space="preserve">Внести изменения в </w:t>
      </w:r>
      <w:r w:rsidRPr="005A3AE5">
        <w:rPr>
          <w:rFonts w:ascii="Times New Roman" w:hAnsi="Times New Roman"/>
          <w:b/>
          <w:u w:val="single"/>
        </w:rPr>
        <w:t>пункт 5.5. «Порядок и срок выплаты дохода по облигациям» Решения о выпуске ценных бумаг:</w:t>
      </w:r>
    </w:p>
    <w:p w14:paraId="50EA20F2" w14:textId="77777777" w:rsidR="004F62F6" w:rsidRDefault="004F62F6" w:rsidP="005A3AE5">
      <w:pPr>
        <w:autoSpaceDE w:val="0"/>
        <w:autoSpaceDN w:val="0"/>
        <w:adjustRightInd w:val="0"/>
        <w:spacing w:after="0" w:line="240" w:lineRule="auto"/>
        <w:jc w:val="both"/>
        <w:rPr>
          <w:rFonts w:ascii="Times New Roman" w:hAnsi="Times New Roman"/>
          <w:b/>
          <w:bCs/>
          <w:i/>
          <w:iCs/>
        </w:rPr>
      </w:pPr>
    </w:p>
    <w:p w14:paraId="328C31DD" w14:textId="30A8624B" w:rsidR="00F30E54" w:rsidRPr="005A3AE5" w:rsidRDefault="00F30E54" w:rsidP="00F30E54">
      <w:pPr>
        <w:pStyle w:val="21"/>
        <w:jc w:val="left"/>
        <w:rPr>
          <w:b/>
          <w:sz w:val="22"/>
          <w:szCs w:val="22"/>
          <w:u w:val="single"/>
          <w:lang w:val="ru-RU"/>
        </w:rPr>
      </w:pPr>
      <w:r w:rsidRPr="005A3AE5">
        <w:rPr>
          <w:b/>
          <w:sz w:val="22"/>
          <w:szCs w:val="22"/>
          <w:u w:val="single"/>
          <w:lang w:val="ru-RU"/>
        </w:rPr>
        <w:t xml:space="preserve">Текст изменяемой редакции </w:t>
      </w:r>
      <w:r>
        <w:rPr>
          <w:b/>
          <w:sz w:val="22"/>
          <w:szCs w:val="22"/>
          <w:u w:val="single"/>
          <w:lang w:val="ru-RU"/>
        </w:rPr>
        <w:t>пункта 5.5.</w:t>
      </w:r>
      <w:r w:rsidRPr="005A3AE5">
        <w:rPr>
          <w:b/>
          <w:sz w:val="22"/>
          <w:szCs w:val="22"/>
          <w:u w:val="single"/>
          <w:lang w:val="ru-RU"/>
        </w:rPr>
        <w:t>:</w:t>
      </w:r>
    </w:p>
    <w:p w14:paraId="5E273824" w14:textId="52552DDF" w:rsidR="004F62F6" w:rsidRPr="009F0FE6" w:rsidRDefault="00F30E54" w:rsidP="004F62F6">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Pr>
          <w:rFonts w:ascii="Times New Roman" w:hAnsi="Times New Roman"/>
          <w:b/>
          <w:bCs/>
          <w:i/>
          <w:iCs/>
          <w:sz w:val="24"/>
          <w:szCs w:val="24"/>
        </w:rPr>
        <w:t>«</w:t>
      </w:r>
      <w:r w:rsidR="004F62F6" w:rsidRPr="009F0FE6">
        <w:rPr>
          <w:rFonts w:ascii="Times New Roman" w:hAnsi="Times New Roman"/>
          <w:b/>
          <w:bCs/>
          <w:i/>
          <w:iCs/>
          <w:sz w:val="24"/>
          <w:szCs w:val="24"/>
        </w:rPr>
        <w:t xml:space="preserve">5.5. </w:t>
      </w:r>
      <w:r w:rsidR="004F62F6" w:rsidRPr="0085492C">
        <w:rPr>
          <w:rFonts w:ascii="Times New Roman" w:hAnsi="Times New Roman"/>
          <w:b/>
          <w:bCs/>
          <w:i/>
          <w:iCs/>
          <w:sz w:val="24"/>
          <w:szCs w:val="24"/>
        </w:rPr>
        <w:t>Порядок и срок выплаты дохода по облигациям</w:t>
      </w:r>
    </w:p>
    <w:p w14:paraId="21A1AA2D" w14:textId="77777777" w:rsidR="004F62F6" w:rsidRPr="004A295A" w:rsidRDefault="004F62F6" w:rsidP="004F62F6">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Pr>
          <w:rFonts w:ascii="Times New Roman" w:eastAsia="Times New Roman" w:hAnsi="Times New Roman"/>
          <w:b/>
          <w:bCs/>
          <w:i/>
          <w:iCs/>
          <w:color w:val="000000"/>
        </w:rPr>
        <w:t>А) Купонный доход</w:t>
      </w:r>
    </w:p>
    <w:p w14:paraId="520A45CE" w14:textId="77777777" w:rsidR="004F62F6" w:rsidRPr="0085492C"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F24D849" w14:textId="77777777" w:rsidR="004F62F6" w:rsidRPr="005A29BE"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738A4A4C" w14:textId="77777777" w:rsidR="004F62F6" w:rsidRPr="004A295A"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lastRenderedPageBreak/>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1B514776" w14:textId="77777777" w:rsidR="004F62F6" w:rsidRPr="005A29BE"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eastAsia="Times New Roman" w:hAnsi="Times New Roman"/>
          <w:b/>
          <w:i/>
        </w:rPr>
        <w:t>Б) Дисконт</w:t>
      </w:r>
    </w:p>
    <w:p w14:paraId="182F4B78" w14:textId="77777777" w:rsidR="004F62F6" w:rsidRPr="004A295A"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9F0FE6">
        <w:rPr>
          <w:rFonts w:ascii="Times New Roman" w:hAnsi="Times New Roman"/>
          <w:bCs/>
          <w:iCs/>
          <w:sz w:val="24"/>
          <w:szCs w:val="24"/>
        </w:rPr>
        <w:t xml:space="preserve">В случае размещения Биржевых облигаций по цене ниже их номинальной стоимости доходом по Биржевым облигациям является разница между номинальной стоимостью </w:t>
      </w:r>
      <w:r w:rsidRPr="004A295A">
        <w:rPr>
          <w:rFonts w:ascii="Times New Roman" w:hAnsi="Times New Roman"/>
          <w:bCs/>
          <w:iCs/>
          <w:sz w:val="24"/>
          <w:szCs w:val="24"/>
        </w:rPr>
        <w:t>Биржевых облигаций и ценой их размещения (дисконт).</w:t>
      </w:r>
    </w:p>
    <w:p w14:paraId="696EE6A6" w14:textId="77777777" w:rsidR="004F62F6" w:rsidRPr="004A295A"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9F0FE6">
        <w:rPr>
          <w:rFonts w:ascii="Times New Roman" w:hAnsi="Times New Roman"/>
          <w:bCs/>
          <w:iCs/>
          <w:sz w:val="24"/>
          <w:szCs w:val="24"/>
        </w:rPr>
        <w:t>Выплата номинальной стоимости Биржевых облигаций в размере 1 000 (Одна тысяча) рублей за одну Биржевую облигацию осуществляется в порядке, установленном п. 5.3. настоящего Решения о выпуске.</w:t>
      </w:r>
    </w:p>
    <w:p w14:paraId="5E936703" w14:textId="77777777" w:rsidR="004F62F6" w:rsidRPr="00B50123" w:rsidRDefault="004F62F6" w:rsidP="004F62F6">
      <w:pPr>
        <w:autoSpaceDE w:val="0"/>
        <w:autoSpaceDN w:val="0"/>
        <w:adjustRightInd w:val="0"/>
        <w:spacing w:before="120" w:after="120" w:line="240" w:lineRule="auto"/>
        <w:ind w:firstLine="540"/>
        <w:jc w:val="both"/>
        <w:rPr>
          <w:rFonts w:ascii="Times New Roman" w:eastAsia="Times New Roman" w:hAnsi="Times New Roman"/>
          <w:b/>
          <w:i/>
        </w:rPr>
      </w:pPr>
      <w:r w:rsidRPr="00B50123">
        <w:rPr>
          <w:rFonts w:ascii="Times New Roman" w:eastAsia="Times New Roman" w:hAnsi="Times New Roman"/>
          <w:b/>
          <w:i/>
        </w:rPr>
        <w:t>В) Дополнительный доход</w:t>
      </w:r>
    </w:p>
    <w:p w14:paraId="57E3CFD4" w14:textId="77777777" w:rsidR="004F62F6" w:rsidRPr="0085492C"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59A8EDE0" w14:textId="77777777" w:rsidR="004F62F6" w:rsidRPr="0085492C"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40BA9FDD" w14:textId="77777777" w:rsidR="004F62F6" w:rsidRPr="004A295A"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5293B3EE" w14:textId="77777777" w:rsidR="004F62F6" w:rsidRPr="0085492C"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П</w:t>
      </w:r>
      <w:r w:rsidRPr="00B61BE1">
        <w:rPr>
          <w:rFonts w:ascii="Times New Roman" w:hAnsi="Times New Roman"/>
          <w:b/>
          <w:bCs/>
          <w:i/>
          <w:iCs/>
          <w:sz w:val="24"/>
          <w:szCs w:val="24"/>
        </w:rPr>
        <w:t>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w:t>
      </w:r>
      <w:r w:rsidRPr="00F7495D">
        <w:rPr>
          <w:rFonts w:ascii="Times New Roman" w:hAnsi="Times New Roman"/>
          <w:b/>
          <w:bCs/>
          <w:i/>
          <w:iCs/>
          <w:sz w:val="24"/>
          <w:szCs w:val="24"/>
        </w:rPr>
        <w:t>вается доход в неденежной форме</w:t>
      </w:r>
      <w:r>
        <w:rPr>
          <w:rFonts w:ascii="Times New Roman" w:hAnsi="Times New Roman"/>
          <w:b/>
          <w:bCs/>
          <w:i/>
          <w:iCs/>
          <w:sz w:val="24"/>
          <w:szCs w:val="24"/>
        </w:rPr>
        <w:t>:</w:t>
      </w:r>
      <w:r w:rsidRPr="007C33C8">
        <w:rPr>
          <w:rFonts w:ascii="Times New Roman" w:hAnsi="Times New Roman"/>
          <w:b/>
          <w:bCs/>
          <w:i/>
          <w:iCs/>
          <w:sz w:val="24"/>
          <w:szCs w:val="24"/>
        </w:rPr>
        <w:t xml:space="preserve"> </w:t>
      </w:r>
      <w:r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076A98B7" w14:textId="77777777" w:rsidR="004F62F6"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1F71637F" w14:textId="77777777" w:rsidR="004F62F6" w:rsidRPr="0085492C"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5C02CFC2" w14:textId="77777777" w:rsidR="004F62F6" w:rsidRPr="0085492C"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Pr>
          <w:rFonts w:ascii="Times New Roman" w:hAnsi="Times New Roman"/>
          <w:bCs/>
          <w:iCs/>
          <w:sz w:val="24"/>
          <w:szCs w:val="24"/>
        </w:rPr>
        <w:t>по</w:t>
      </w:r>
      <w:r w:rsidRPr="0085492C">
        <w:rPr>
          <w:rFonts w:ascii="Times New Roman" w:hAnsi="Times New Roman"/>
          <w:bCs/>
          <w:iCs/>
          <w:sz w:val="24"/>
          <w:szCs w:val="24"/>
        </w:rPr>
        <w:t xml:space="preserve"> Биржевы</w:t>
      </w:r>
      <w:r>
        <w:rPr>
          <w:rFonts w:ascii="Times New Roman" w:hAnsi="Times New Roman"/>
          <w:bCs/>
          <w:iCs/>
          <w:sz w:val="24"/>
          <w:szCs w:val="24"/>
        </w:rPr>
        <w:t>м</w:t>
      </w:r>
      <w:r w:rsidRPr="0085492C">
        <w:rPr>
          <w:rFonts w:ascii="Times New Roman" w:hAnsi="Times New Roman"/>
          <w:bCs/>
          <w:iCs/>
          <w:sz w:val="24"/>
          <w:szCs w:val="24"/>
        </w:rPr>
        <w:t xml:space="preserve"> облигаци</w:t>
      </w:r>
      <w:r>
        <w:rPr>
          <w:rFonts w:ascii="Times New Roman" w:hAnsi="Times New Roman"/>
          <w:bCs/>
          <w:iCs/>
          <w:sz w:val="24"/>
          <w:szCs w:val="24"/>
        </w:rPr>
        <w:t>ям</w:t>
      </w:r>
      <w:r w:rsidRPr="0085492C">
        <w:rPr>
          <w:rFonts w:ascii="Times New Roman" w:hAnsi="Times New Roman"/>
          <w:bCs/>
          <w:iCs/>
          <w:sz w:val="24"/>
          <w:szCs w:val="24"/>
        </w:rPr>
        <w:t xml:space="preserve"> через депозитарий, депонентами которого они являются.</w:t>
      </w:r>
      <w:r w:rsidRPr="00F7495D">
        <w:t xml:space="preserve"> </w:t>
      </w:r>
      <w:r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72E93065" w14:textId="77777777" w:rsidR="004F62F6" w:rsidRPr="004A295A"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Передача денежных выплат в счет </w:t>
      </w:r>
      <w:r w:rsidRPr="00CB45FC">
        <w:rPr>
          <w:rFonts w:ascii="Times New Roman" w:hAnsi="Times New Roman"/>
          <w:bCs/>
          <w:iCs/>
          <w:sz w:val="24"/>
          <w:szCs w:val="24"/>
        </w:rPr>
        <w:t>выплаты дохода по Биржевым облигациям</w:t>
      </w:r>
      <w:r w:rsidRPr="0085492C">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Pr>
          <w:rFonts w:ascii="Times New Roman" w:hAnsi="Times New Roman"/>
          <w:bCs/>
          <w:iCs/>
          <w:sz w:val="24"/>
          <w:szCs w:val="24"/>
        </w:rPr>
        <w:t>,</w:t>
      </w:r>
      <w:r w:rsidRPr="0085492C">
        <w:t xml:space="preserve"> </w:t>
      </w:r>
      <w:r w:rsidRPr="0085492C">
        <w:rPr>
          <w:rFonts w:ascii="Times New Roman" w:hAnsi="Times New Roman"/>
          <w:bCs/>
          <w:iCs/>
          <w:sz w:val="24"/>
          <w:szCs w:val="24"/>
        </w:rPr>
        <w:t>с особенностями в зависимости от способа учета прав на облигации.</w:t>
      </w:r>
    </w:p>
    <w:p w14:paraId="76F29A9C" w14:textId="0BDB9942" w:rsidR="004F62F6" w:rsidRPr="004A295A"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r w:rsidR="00F30E54">
        <w:rPr>
          <w:rFonts w:ascii="Times New Roman" w:hAnsi="Times New Roman"/>
          <w:bCs/>
          <w:iCs/>
          <w:sz w:val="24"/>
          <w:szCs w:val="24"/>
        </w:rPr>
        <w:t>»</w:t>
      </w:r>
    </w:p>
    <w:p w14:paraId="09842E44" w14:textId="77777777" w:rsidR="004F62F6" w:rsidRDefault="004F62F6" w:rsidP="005A3AE5">
      <w:pPr>
        <w:autoSpaceDE w:val="0"/>
        <w:autoSpaceDN w:val="0"/>
        <w:adjustRightInd w:val="0"/>
        <w:spacing w:after="0" w:line="240" w:lineRule="auto"/>
        <w:jc w:val="both"/>
        <w:rPr>
          <w:rFonts w:ascii="Times New Roman" w:hAnsi="Times New Roman"/>
          <w:b/>
          <w:bCs/>
          <w:i/>
          <w:iCs/>
        </w:rPr>
      </w:pPr>
    </w:p>
    <w:p w14:paraId="3C588AFC" w14:textId="2866859A" w:rsidR="00F30E54" w:rsidRPr="005A3AE5" w:rsidRDefault="00F30E54" w:rsidP="00F30E54">
      <w:pPr>
        <w:pStyle w:val="21"/>
        <w:jc w:val="left"/>
        <w:rPr>
          <w:b/>
          <w:sz w:val="22"/>
          <w:szCs w:val="22"/>
          <w:u w:val="single"/>
          <w:lang w:val="ru-RU"/>
        </w:rPr>
      </w:pPr>
      <w:r>
        <w:rPr>
          <w:b/>
          <w:sz w:val="22"/>
          <w:szCs w:val="22"/>
          <w:u w:val="single"/>
          <w:lang w:val="ru-RU"/>
        </w:rPr>
        <w:t xml:space="preserve">Текст новой </w:t>
      </w:r>
      <w:r w:rsidRPr="005A3AE5">
        <w:rPr>
          <w:b/>
          <w:sz w:val="22"/>
          <w:szCs w:val="22"/>
          <w:u w:val="single"/>
          <w:lang w:val="ru-RU"/>
        </w:rPr>
        <w:t xml:space="preserve">редакции </w:t>
      </w:r>
      <w:r>
        <w:rPr>
          <w:b/>
          <w:sz w:val="22"/>
          <w:szCs w:val="22"/>
          <w:u w:val="single"/>
          <w:lang w:val="ru-RU"/>
        </w:rPr>
        <w:t>пункта 5.5.</w:t>
      </w:r>
      <w:r w:rsidRPr="005A3AE5">
        <w:rPr>
          <w:b/>
          <w:sz w:val="22"/>
          <w:szCs w:val="22"/>
          <w:u w:val="single"/>
          <w:lang w:val="ru-RU"/>
        </w:rPr>
        <w:t>:</w:t>
      </w:r>
    </w:p>
    <w:p w14:paraId="460FA818" w14:textId="77777777" w:rsidR="004F62F6" w:rsidRDefault="004F62F6" w:rsidP="005A3AE5">
      <w:pPr>
        <w:autoSpaceDE w:val="0"/>
        <w:autoSpaceDN w:val="0"/>
        <w:adjustRightInd w:val="0"/>
        <w:spacing w:after="0" w:line="240" w:lineRule="auto"/>
        <w:jc w:val="both"/>
        <w:rPr>
          <w:rFonts w:ascii="Times New Roman" w:hAnsi="Times New Roman"/>
          <w:b/>
          <w:bCs/>
          <w:i/>
          <w:iCs/>
        </w:rPr>
      </w:pPr>
    </w:p>
    <w:p w14:paraId="79B92B99" w14:textId="72E51402" w:rsidR="00F30E54" w:rsidRPr="009F0FE6" w:rsidRDefault="00F30E54" w:rsidP="00F30E54">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Pr>
          <w:rFonts w:ascii="Times New Roman" w:hAnsi="Times New Roman"/>
          <w:b/>
          <w:bCs/>
          <w:i/>
          <w:iCs/>
          <w:sz w:val="24"/>
          <w:szCs w:val="24"/>
        </w:rPr>
        <w:t>«</w:t>
      </w:r>
      <w:r w:rsidRPr="009F0FE6">
        <w:rPr>
          <w:rFonts w:ascii="Times New Roman" w:hAnsi="Times New Roman"/>
          <w:b/>
          <w:bCs/>
          <w:i/>
          <w:iCs/>
          <w:sz w:val="24"/>
          <w:szCs w:val="24"/>
        </w:rPr>
        <w:t xml:space="preserve">5.5. </w:t>
      </w:r>
      <w:r w:rsidRPr="0085492C">
        <w:rPr>
          <w:rFonts w:ascii="Times New Roman" w:hAnsi="Times New Roman"/>
          <w:b/>
          <w:bCs/>
          <w:i/>
          <w:iCs/>
          <w:sz w:val="24"/>
          <w:szCs w:val="24"/>
        </w:rPr>
        <w:t>Порядок и срок выплаты дохода по облигациям</w:t>
      </w:r>
    </w:p>
    <w:p w14:paraId="4FCA7D20" w14:textId="77777777" w:rsidR="00F30E54" w:rsidRPr="004A295A" w:rsidRDefault="00F30E54" w:rsidP="00F30E54">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Pr>
          <w:rFonts w:ascii="Times New Roman" w:eastAsia="Times New Roman" w:hAnsi="Times New Roman"/>
          <w:b/>
          <w:bCs/>
          <w:i/>
          <w:iCs/>
          <w:color w:val="000000"/>
        </w:rPr>
        <w:t>А) Купонный доход</w:t>
      </w:r>
    </w:p>
    <w:p w14:paraId="262F07DF" w14:textId="77777777" w:rsidR="00F30E54" w:rsidRPr="0085492C" w:rsidRDefault="00F30E54" w:rsidP="00F30E54">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lastRenderedPageBreak/>
        <w:t>Выплата купонного дохода по Биржевым облигациям производится денежными средствами в российских рублях в безналичном порядке.</w:t>
      </w:r>
    </w:p>
    <w:p w14:paraId="754DC848" w14:textId="77777777" w:rsidR="00F30E54" w:rsidRPr="005A29BE" w:rsidRDefault="00F30E54" w:rsidP="00F30E54">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44095CEE" w14:textId="77777777" w:rsidR="00F30E54" w:rsidRPr="004A295A" w:rsidRDefault="00F30E54" w:rsidP="00F30E54">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2E29647B" w14:textId="2B9F7DFD" w:rsidR="00F30E54" w:rsidRPr="00B50123" w:rsidRDefault="00F30E54" w:rsidP="00F30E54">
      <w:pPr>
        <w:autoSpaceDE w:val="0"/>
        <w:autoSpaceDN w:val="0"/>
        <w:adjustRightInd w:val="0"/>
        <w:spacing w:before="120" w:after="120" w:line="240" w:lineRule="auto"/>
        <w:ind w:firstLine="540"/>
        <w:jc w:val="both"/>
        <w:rPr>
          <w:rFonts w:ascii="Times New Roman" w:eastAsia="Times New Roman" w:hAnsi="Times New Roman"/>
          <w:b/>
          <w:i/>
        </w:rPr>
      </w:pPr>
      <w:r>
        <w:rPr>
          <w:rFonts w:ascii="Times New Roman" w:eastAsia="Times New Roman" w:hAnsi="Times New Roman"/>
          <w:b/>
          <w:i/>
        </w:rPr>
        <w:t>Б</w:t>
      </w:r>
      <w:r w:rsidRPr="00B50123">
        <w:rPr>
          <w:rFonts w:ascii="Times New Roman" w:eastAsia="Times New Roman" w:hAnsi="Times New Roman"/>
          <w:b/>
          <w:i/>
        </w:rPr>
        <w:t>) Дополнительный доход</w:t>
      </w:r>
    </w:p>
    <w:p w14:paraId="05007C4F" w14:textId="77777777" w:rsidR="00F30E54" w:rsidRPr="0085492C" w:rsidRDefault="00F30E54" w:rsidP="00F30E54">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EAD89F5" w14:textId="77777777" w:rsidR="00F30E54" w:rsidRPr="0085492C" w:rsidRDefault="00F30E54" w:rsidP="00F30E54">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62928319" w14:textId="77777777" w:rsidR="00F30E54" w:rsidRPr="004A295A" w:rsidRDefault="00F30E54" w:rsidP="00F30E54">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29BC431B" w14:textId="77777777" w:rsidR="00F30E54" w:rsidRPr="0085492C" w:rsidRDefault="00F30E54" w:rsidP="00F30E54">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П</w:t>
      </w:r>
      <w:r w:rsidRPr="00B61BE1">
        <w:rPr>
          <w:rFonts w:ascii="Times New Roman" w:hAnsi="Times New Roman"/>
          <w:b/>
          <w:bCs/>
          <w:i/>
          <w:iCs/>
          <w:sz w:val="24"/>
          <w:szCs w:val="24"/>
        </w:rPr>
        <w:t>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w:t>
      </w:r>
      <w:r w:rsidRPr="00F7495D">
        <w:rPr>
          <w:rFonts w:ascii="Times New Roman" w:hAnsi="Times New Roman"/>
          <w:b/>
          <w:bCs/>
          <w:i/>
          <w:iCs/>
          <w:sz w:val="24"/>
          <w:szCs w:val="24"/>
        </w:rPr>
        <w:t>вается доход в неденежной форме</w:t>
      </w:r>
      <w:r>
        <w:rPr>
          <w:rFonts w:ascii="Times New Roman" w:hAnsi="Times New Roman"/>
          <w:b/>
          <w:bCs/>
          <w:i/>
          <w:iCs/>
          <w:sz w:val="24"/>
          <w:szCs w:val="24"/>
        </w:rPr>
        <w:t>:</w:t>
      </w:r>
      <w:r w:rsidRPr="007C33C8">
        <w:rPr>
          <w:rFonts w:ascii="Times New Roman" w:hAnsi="Times New Roman"/>
          <w:b/>
          <w:bCs/>
          <w:i/>
          <w:iCs/>
          <w:sz w:val="24"/>
          <w:szCs w:val="24"/>
        </w:rPr>
        <w:t xml:space="preserve"> </w:t>
      </w:r>
      <w:r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3667214D" w14:textId="77777777" w:rsidR="00F30E54" w:rsidRDefault="00F30E54" w:rsidP="00F30E54">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2D754D2F" w14:textId="77777777" w:rsidR="00F30E54" w:rsidRPr="0085492C" w:rsidRDefault="00F30E54" w:rsidP="00F30E54">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081EBF1F" w14:textId="77777777" w:rsidR="00F30E54" w:rsidRPr="0085492C" w:rsidRDefault="00F30E54" w:rsidP="00F30E54">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Pr>
          <w:rFonts w:ascii="Times New Roman" w:hAnsi="Times New Roman"/>
          <w:bCs/>
          <w:iCs/>
          <w:sz w:val="24"/>
          <w:szCs w:val="24"/>
        </w:rPr>
        <w:t>по</w:t>
      </w:r>
      <w:r w:rsidRPr="0085492C">
        <w:rPr>
          <w:rFonts w:ascii="Times New Roman" w:hAnsi="Times New Roman"/>
          <w:bCs/>
          <w:iCs/>
          <w:sz w:val="24"/>
          <w:szCs w:val="24"/>
        </w:rPr>
        <w:t xml:space="preserve"> Биржевы</w:t>
      </w:r>
      <w:r>
        <w:rPr>
          <w:rFonts w:ascii="Times New Roman" w:hAnsi="Times New Roman"/>
          <w:bCs/>
          <w:iCs/>
          <w:sz w:val="24"/>
          <w:szCs w:val="24"/>
        </w:rPr>
        <w:t>м</w:t>
      </w:r>
      <w:r w:rsidRPr="0085492C">
        <w:rPr>
          <w:rFonts w:ascii="Times New Roman" w:hAnsi="Times New Roman"/>
          <w:bCs/>
          <w:iCs/>
          <w:sz w:val="24"/>
          <w:szCs w:val="24"/>
        </w:rPr>
        <w:t xml:space="preserve"> облигаци</w:t>
      </w:r>
      <w:r>
        <w:rPr>
          <w:rFonts w:ascii="Times New Roman" w:hAnsi="Times New Roman"/>
          <w:bCs/>
          <w:iCs/>
          <w:sz w:val="24"/>
          <w:szCs w:val="24"/>
        </w:rPr>
        <w:t>ям</w:t>
      </w:r>
      <w:r w:rsidRPr="0085492C">
        <w:rPr>
          <w:rFonts w:ascii="Times New Roman" w:hAnsi="Times New Roman"/>
          <w:bCs/>
          <w:iCs/>
          <w:sz w:val="24"/>
          <w:szCs w:val="24"/>
        </w:rPr>
        <w:t xml:space="preserve"> через депозитарий, депонентами которого они являются.</w:t>
      </w:r>
      <w:r w:rsidRPr="00F7495D">
        <w:t xml:space="preserve"> </w:t>
      </w:r>
      <w:r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1E96C0D6" w14:textId="77777777" w:rsidR="00F30E54" w:rsidRPr="004A295A" w:rsidRDefault="00F30E54" w:rsidP="00F30E54">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Передача денежных выплат в счет </w:t>
      </w:r>
      <w:r w:rsidRPr="00CB45FC">
        <w:rPr>
          <w:rFonts w:ascii="Times New Roman" w:hAnsi="Times New Roman"/>
          <w:bCs/>
          <w:iCs/>
          <w:sz w:val="24"/>
          <w:szCs w:val="24"/>
        </w:rPr>
        <w:t>выплаты дохода по Биржевым облигациям</w:t>
      </w:r>
      <w:r w:rsidRPr="0085492C">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Pr>
          <w:rFonts w:ascii="Times New Roman" w:hAnsi="Times New Roman"/>
          <w:bCs/>
          <w:iCs/>
          <w:sz w:val="24"/>
          <w:szCs w:val="24"/>
        </w:rPr>
        <w:t>,</w:t>
      </w:r>
      <w:r w:rsidRPr="0085492C">
        <w:t xml:space="preserve"> </w:t>
      </w:r>
      <w:r w:rsidRPr="0085492C">
        <w:rPr>
          <w:rFonts w:ascii="Times New Roman" w:hAnsi="Times New Roman"/>
          <w:bCs/>
          <w:iCs/>
          <w:sz w:val="24"/>
          <w:szCs w:val="24"/>
        </w:rPr>
        <w:t>с особенностями в зависимости от способа учета прав на облигации.</w:t>
      </w:r>
    </w:p>
    <w:p w14:paraId="18708A8A" w14:textId="2FC90E56" w:rsidR="00F30E54" w:rsidRPr="004A295A" w:rsidRDefault="00F30E54" w:rsidP="00F30E54">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r>
        <w:rPr>
          <w:rFonts w:ascii="Times New Roman" w:hAnsi="Times New Roman"/>
          <w:bCs/>
          <w:iCs/>
          <w:sz w:val="24"/>
          <w:szCs w:val="24"/>
        </w:rPr>
        <w:t>»</w:t>
      </w:r>
    </w:p>
    <w:sectPr w:rsidR="00F30E54" w:rsidRPr="004A295A"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B3BB6B" w14:textId="77777777" w:rsidR="00290AF3" w:rsidRDefault="00290AF3" w:rsidP="00B97F78">
      <w:pPr>
        <w:spacing w:after="0" w:line="240" w:lineRule="auto"/>
      </w:pPr>
      <w:r>
        <w:separator/>
      </w:r>
    </w:p>
  </w:endnote>
  <w:endnote w:type="continuationSeparator" w:id="0">
    <w:p w14:paraId="7A6826EE" w14:textId="77777777" w:rsidR="00290AF3" w:rsidRDefault="00290AF3" w:rsidP="00B97F78">
      <w:pPr>
        <w:spacing w:after="0" w:line="240" w:lineRule="auto"/>
      </w:pPr>
      <w:r>
        <w:continuationSeparator/>
      </w:r>
    </w:p>
  </w:endnote>
  <w:endnote w:type="continuationNotice" w:id="1">
    <w:p w14:paraId="0B23CEB4" w14:textId="77777777" w:rsidR="00290AF3" w:rsidRDefault="00290A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53062334"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824DB5">
      <w:rPr>
        <w:rFonts w:ascii="Times New Roman" w:hAnsi="Times New Roman"/>
        <w:noProof/>
        <w:sz w:val="24"/>
        <w:szCs w:val="24"/>
      </w:rPr>
      <w:t>13</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95880E" w14:textId="77777777" w:rsidR="00290AF3" w:rsidRDefault="00290AF3" w:rsidP="00B97F78">
      <w:pPr>
        <w:spacing w:after="0" w:line="240" w:lineRule="auto"/>
      </w:pPr>
      <w:r>
        <w:separator/>
      </w:r>
    </w:p>
  </w:footnote>
  <w:footnote w:type="continuationSeparator" w:id="0">
    <w:p w14:paraId="727F9198" w14:textId="77777777" w:rsidR="00290AF3" w:rsidRDefault="00290AF3" w:rsidP="00B97F78">
      <w:pPr>
        <w:spacing w:after="0" w:line="240" w:lineRule="auto"/>
      </w:pPr>
      <w:r>
        <w:continuationSeparator/>
      </w:r>
    </w:p>
  </w:footnote>
  <w:footnote w:type="continuationNotice" w:id="1">
    <w:p w14:paraId="0ABC5AE6" w14:textId="77777777" w:rsidR="00290AF3" w:rsidRDefault="00290A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4"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5"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3"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5C835797"/>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0"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4"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5"/>
  </w:num>
  <w:num w:numId="5">
    <w:abstractNumId w:val="12"/>
  </w:num>
  <w:num w:numId="6">
    <w:abstractNumId w:val="9"/>
  </w:num>
  <w:num w:numId="7">
    <w:abstractNumId w:val="18"/>
  </w:num>
  <w:num w:numId="8">
    <w:abstractNumId w:val="4"/>
  </w:num>
  <w:num w:numId="9">
    <w:abstractNumId w:val="35"/>
  </w:num>
  <w:num w:numId="10">
    <w:abstractNumId w:val="19"/>
  </w:num>
  <w:num w:numId="11">
    <w:abstractNumId w:val="5"/>
  </w:num>
  <w:num w:numId="12">
    <w:abstractNumId w:val="6"/>
  </w:num>
  <w:num w:numId="13">
    <w:abstractNumId w:val="11"/>
  </w:num>
  <w:num w:numId="14">
    <w:abstractNumId w:val="10"/>
  </w:num>
  <w:num w:numId="15">
    <w:abstractNumId w:val="37"/>
  </w:num>
  <w:num w:numId="16">
    <w:abstractNumId w:val="7"/>
  </w:num>
  <w:num w:numId="17">
    <w:abstractNumId w:val="1"/>
  </w:num>
  <w:num w:numId="18">
    <w:abstractNumId w:val="0"/>
  </w:num>
  <w:num w:numId="19">
    <w:abstractNumId w:val="43"/>
  </w:num>
  <w:num w:numId="20">
    <w:abstractNumId w:val="28"/>
  </w:num>
  <w:num w:numId="21">
    <w:abstractNumId w:val="40"/>
  </w:num>
  <w:num w:numId="22">
    <w:abstractNumId w:val="33"/>
  </w:num>
  <w:num w:numId="23">
    <w:abstractNumId w:val="31"/>
  </w:num>
  <w:num w:numId="24">
    <w:abstractNumId w:val="26"/>
  </w:num>
  <w:num w:numId="25">
    <w:abstractNumId w:val="34"/>
  </w:num>
  <w:num w:numId="26">
    <w:abstractNumId w:val="32"/>
  </w:num>
  <w:num w:numId="27">
    <w:abstractNumId w:val="30"/>
  </w:num>
  <w:num w:numId="28">
    <w:abstractNumId w:val="42"/>
  </w:num>
  <w:num w:numId="29">
    <w:abstractNumId w:val="39"/>
  </w:num>
  <w:num w:numId="30">
    <w:abstractNumId w:val="44"/>
  </w:num>
  <w:num w:numId="31">
    <w:abstractNumId w:val="20"/>
  </w:num>
  <w:num w:numId="32">
    <w:abstractNumId w:val="17"/>
  </w:num>
  <w:num w:numId="33">
    <w:abstractNumId w:val="24"/>
  </w:num>
  <w:num w:numId="34">
    <w:abstractNumId w:val="15"/>
  </w:num>
  <w:num w:numId="35">
    <w:abstractNumId w:val="16"/>
  </w:num>
  <w:num w:numId="36">
    <w:abstractNumId w:val="41"/>
  </w:num>
  <w:num w:numId="37">
    <w:abstractNumId w:val="29"/>
  </w:num>
  <w:num w:numId="38">
    <w:abstractNumId w:val="27"/>
  </w:num>
  <w:num w:numId="39">
    <w:abstractNumId w:val="38"/>
  </w:num>
  <w:num w:numId="40">
    <w:abstractNumId w:val="21"/>
  </w:num>
  <w:num w:numId="41">
    <w:abstractNumId w:val="22"/>
  </w:num>
  <w:num w:numId="42">
    <w:abstractNumId w:val="13"/>
  </w:num>
  <w:num w:numId="43">
    <w:abstractNumId w:val="23"/>
  </w:num>
  <w:num w:numId="44">
    <w:abstractNumId w:val="14"/>
  </w:num>
  <w:num w:numId="4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7E55"/>
    <w:rsid w:val="00033BF8"/>
    <w:rsid w:val="000403A9"/>
    <w:rsid w:val="0004074E"/>
    <w:rsid w:val="00040BE8"/>
    <w:rsid w:val="0004496F"/>
    <w:rsid w:val="0005061A"/>
    <w:rsid w:val="000513BB"/>
    <w:rsid w:val="00052EBF"/>
    <w:rsid w:val="000551B3"/>
    <w:rsid w:val="00055C19"/>
    <w:rsid w:val="00055CA9"/>
    <w:rsid w:val="0005633A"/>
    <w:rsid w:val="00060E39"/>
    <w:rsid w:val="00071472"/>
    <w:rsid w:val="00074DD8"/>
    <w:rsid w:val="00075D7D"/>
    <w:rsid w:val="00076396"/>
    <w:rsid w:val="00080012"/>
    <w:rsid w:val="00082F60"/>
    <w:rsid w:val="00083746"/>
    <w:rsid w:val="00087F00"/>
    <w:rsid w:val="00095D51"/>
    <w:rsid w:val="000962CF"/>
    <w:rsid w:val="000A35FB"/>
    <w:rsid w:val="000A3FA5"/>
    <w:rsid w:val="000B0764"/>
    <w:rsid w:val="000B3DF0"/>
    <w:rsid w:val="000B4728"/>
    <w:rsid w:val="000C0CC6"/>
    <w:rsid w:val="000D0DC3"/>
    <w:rsid w:val="000D13AB"/>
    <w:rsid w:val="000D41B7"/>
    <w:rsid w:val="000D44AA"/>
    <w:rsid w:val="000E3BDF"/>
    <w:rsid w:val="000F7463"/>
    <w:rsid w:val="00102F6A"/>
    <w:rsid w:val="001033BB"/>
    <w:rsid w:val="00105825"/>
    <w:rsid w:val="00106B1B"/>
    <w:rsid w:val="001108FD"/>
    <w:rsid w:val="001157C7"/>
    <w:rsid w:val="0011701C"/>
    <w:rsid w:val="00123193"/>
    <w:rsid w:val="00124D9E"/>
    <w:rsid w:val="00125EA8"/>
    <w:rsid w:val="00136C53"/>
    <w:rsid w:val="00141FDE"/>
    <w:rsid w:val="0014216F"/>
    <w:rsid w:val="00143207"/>
    <w:rsid w:val="00143880"/>
    <w:rsid w:val="00145A71"/>
    <w:rsid w:val="0014602D"/>
    <w:rsid w:val="001460AF"/>
    <w:rsid w:val="00155371"/>
    <w:rsid w:val="00160A48"/>
    <w:rsid w:val="00167580"/>
    <w:rsid w:val="00171971"/>
    <w:rsid w:val="0018646C"/>
    <w:rsid w:val="00195303"/>
    <w:rsid w:val="001A28D1"/>
    <w:rsid w:val="001A6984"/>
    <w:rsid w:val="001A6C83"/>
    <w:rsid w:val="001B0533"/>
    <w:rsid w:val="001B1A6F"/>
    <w:rsid w:val="001B4772"/>
    <w:rsid w:val="001B5689"/>
    <w:rsid w:val="001B78C4"/>
    <w:rsid w:val="001C0762"/>
    <w:rsid w:val="001C1BA0"/>
    <w:rsid w:val="001C4D1B"/>
    <w:rsid w:val="001D4AE9"/>
    <w:rsid w:val="001D6715"/>
    <w:rsid w:val="001E04CD"/>
    <w:rsid w:val="001E081D"/>
    <w:rsid w:val="001E0985"/>
    <w:rsid w:val="001F0638"/>
    <w:rsid w:val="00205116"/>
    <w:rsid w:val="002054B6"/>
    <w:rsid w:val="00207271"/>
    <w:rsid w:val="002102D3"/>
    <w:rsid w:val="00210EF2"/>
    <w:rsid w:val="00222C57"/>
    <w:rsid w:val="00223F3D"/>
    <w:rsid w:val="002254D1"/>
    <w:rsid w:val="00231872"/>
    <w:rsid w:val="00232033"/>
    <w:rsid w:val="00233AB2"/>
    <w:rsid w:val="00233D8A"/>
    <w:rsid w:val="00237379"/>
    <w:rsid w:val="002422F3"/>
    <w:rsid w:val="0024242B"/>
    <w:rsid w:val="002462CA"/>
    <w:rsid w:val="00247867"/>
    <w:rsid w:val="00250AEE"/>
    <w:rsid w:val="00263705"/>
    <w:rsid w:val="0026503B"/>
    <w:rsid w:val="00266E36"/>
    <w:rsid w:val="002748E4"/>
    <w:rsid w:val="00276B2D"/>
    <w:rsid w:val="002808EF"/>
    <w:rsid w:val="002810C6"/>
    <w:rsid w:val="00284234"/>
    <w:rsid w:val="00284561"/>
    <w:rsid w:val="0028500D"/>
    <w:rsid w:val="00286FBC"/>
    <w:rsid w:val="00290AF3"/>
    <w:rsid w:val="00291C64"/>
    <w:rsid w:val="00294739"/>
    <w:rsid w:val="002A09D3"/>
    <w:rsid w:val="002A0E03"/>
    <w:rsid w:val="002A1404"/>
    <w:rsid w:val="002A367C"/>
    <w:rsid w:val="002A54C2"/>
    <w:rsid w:val="002B2F5A"/>
    <w:rsid w:val="002B5E61"/>
    <w:rsid w:val="002C08B4"/>
    <w:rsid w:val="002C3FF5"/>
    <w:rsid w:val="002C4EB0"/>
    <w:rsid w:val="002D3687"/>
    <w:rsid w:val="002D65AE"/>
    <w:rsid w:val="002E15E6"/>
    <w:rsid w:val="002E6200"/>
    <w:rsid w:val="002F13F5"/>
    <w:rsid w:val="002F60C5"/>
    <w:rsid w:val="002F7F3F"/>
    <w:rsid w:val="00301387"/>
    <w:rsid w:val="00311671"/>
    <w:rsid w:val="0032150A"/>
    <w:rsid w:val="00321A3F"/>
    <w:rsid w:val="00324412"/>
    <w:rsid w:val="00324A8B"/>
    <w:rsid w:val="00335693"/>
    <w:rsid w:val="00336A29"/>
    <w:rsid w:val="00341B2E"/>
    <w:rsid w:val="00342BBF"/>
    <w:rsid w:val="0036541E"/>
    <w:rsid w:val="00367919"/>
    <w:rsid w:val="00377141"/>
    <w:rsid w:val="003800F2"/>
    <w:rsid w:val="00381C35"/>
    <w:rsid w:val="00386D73"/>
    <w:rsid w:val="00391B38"/>
    <w:rsid w:val="003933A5"/>
    <w:rsid w:val="00393A76"/>
    <w:rsid w:val="00394475"/>
    <w:rsid w:val="003A23AF"/>
    <w:rsid w:val="003A421B"/>
    <w:rsid w:val="003A4328"/>
    <w:rsid w:val="003A6357"/>
    <w:rsid w:val="003A689F"/>
    <w:rsid w:val="003B0940"/>
    <w:rsid w:val="003B48C1"/>
    <w:rsid w:val="003B5B49"/>
    <w:rsid w:val="003B6DE7"/>
    <w:rsid w:val="003B7677"/>
    <w:rsid w:val="003C0080"/>
    <w:rsid w:val="003C00C4"/>
    <w:rsid w:val="003C20B6"/>
    <w:rsid w:val="003C5A1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07F0B"/>
    <w:rsid w:val="00410FB5"/>
    <w:rsid w:val="00420DE8"/>
    <w:rsid w:val="00421545"/>
    <w:rsid w:val="0042449B"/>
    <w:rsid w:val="00424D3F"/>
    <w:rsid w:val="00431EF3"/>
    <w:rsid w:val="0043793A"/>
    <w:rsid w:val="00441E4C"/>
    <w:rsid w:val="00443945"/>
    <w:rsid w:val="00453727"/>
    <w:rsid w:val="0045711B"/>
    <w:rsid w:val="00457410"/>
    <w:rsid w:val="00465EFE"/>
    <w:rsid w:val="0046665C"/>
    <w:rsid w:val="00480C3F"/>
    <w:rsid w:val="00482126"/>
    <w:rsid w:val="004827ED"/>
    <w:rsid w:val="00482E46"/>
    <w:rsid w:val="004839FC"/>
    <w:rsid w:val="00484510"/>
    <w:rsid w:val="00486E8A"/>
    <w:rsid w:val="00487A9A"/>
    <w:rsid w:val="00493921"/>
    <w:rsid w:val="004A295A"/>
    <w:rsid w:val="004A400A"/>
    <w:rsid w:val="004B679B"/>
    <w:rsid w:val="004B70DE"/>
    <w:rsid w:val="004C382E"/>
    <w:rsid w:val="004C4583"/>
    <w:rsid w:val="004C5BBB"/>
    <w:rsid w:val="004D0325"/>
    <w:rsid w:val="004D55DD"/>
    <w:rsid w:val="004F2A92"/>
    <w:rsid w:val="004F2F7E"/>
    <w:rsid w:val="004F5E78"/>
    <w:rsid w:val="004F62F6"/>
    <w:rsid w:val="00523CBC"/>
    <w:rsid w:val="00526D1D"/>
    <w:rsid w:val="0053036B"/>
    <w:rsid w:val="005305EC"/>
    <w:rsid w:val="005336E1"/>
    <w:rsid w:val="005369F9"/>
    <w:rsid w:val="0053746B"/>
    <w:rsid w:val="00543F0D"/>
    <w:rsid w:val="00544309"/>
    <w:rsid w:val="00544408"/>
    <w:rsid w:val="00546CA9"/>
    <w:rsid w:val="00547798"/>
    <w:rsid w:val="005536F0"/>
    <w:rsid w:val="00553D08"/>
    <w:rsid w:val="00557006"/>
    <w:rsid w:val="0056132B"/>
    <w:rsid w:val="00563EEC"/>
    <w:rsid w:val="0056735B"/>
    <w:rsid w:val="005679A9"/>
    <w:rsid w:val="00570BB5"/>
    <w:rsid w:val="00571A3D"/>
    <w:rsid w:val="00573FEF"/>
    <w:rsid w:val="005909FC"/>
    <w:rsid w:val="00595581"/>
    <w:rsid w:val="00597610"/>
    <w:rsid w:val="005A1268"/>
    <w:rsid w:val="005A2503"/>
    <w:rsid w:val="005A29BE"/>
    <w:rsid w:val="005A3AE5"/>
    <w:rsid w:val="005B2617"/>
    <w:rsid w:val="005B5277"/>
    <w:rsid w:val="005B6071"/>
    <w:rsid w:val="005C2951"/>
    <w:rsid w:val="005C4AD6"/>
    <w:rsid w:val="005C67F0"/>
    <w:rsid w:val="005D63D6"/>
    <w:rsid w:val="005E4E31"/>
    <w:rsid w:val="005E6213"/>
    <w:rsid w:val="005F3416"/>
    <w:rsid w:val="005F5696"/>
    <w:rsid w:val="00607659"/>
    <w:rsid w:val="00610559"/>
    <w:rsid w:val="00613CDC"/>
    <w:rsid w:val="00625656"/>
    <w:rsid w:val="00627FFC"/>
    <w:rsid w:val="00630445"/>
    <w:rsid w:val="00631A9B"/>
    <w:rsid w:val="0063705C"/>
    <w:rsid w:val="00637A53"/>
    <w:rsid w:val="00646798"/>
    <w:rsid w:val="0065105B"/>
    <w:rsid w:val="00663722"/>
    <w:rsid w:val="0066425D"/>
    <w:rsid w:val="00664C9B"/>
    <w:rsid w:val="006720A7"/>
    <w:rsid w:val="00673E2F"/>
    <w:rsid w:val="006761C4"/>
    <w:rsid w:val="00676C6D"/>
    <w:rsid w:val="00685B5E"/>
    <w:rsid w:val="00691B5A"/>
    <w:rsid w:val="0069479D"/>
    <w:rsid w:val="006B378F"/>
    <w:rsid w:val="006B430E"/>
    <w:rsid w:val="006C204B"/>
    <w:rsid w:val="006C2552"/>
    <w:rsid w:val="006C2EE1"/>
    <w:rsid w:val="006C38D1"/>
    <w:rsid w:val="006C48D1"/>
    <w:rsid w:val="006D2FFB"/>
    <w:rsid w:val="006D42B6"/>
    <w:rsid w:val="006E1080"/>
    <w:rsid w:val="006F1830"/>
    <w:rsid w:val="006F22AC"/>
    <w:rsid w:val="006F5216"/>
    <w:rsid w:val="006F5C89"/>
    <w:rsid w:val="006F63B5"/>
    <w:rsid w:val="0070045E"/>
    <w:rsid w:val="007027CC"/>
    <w:rsid w:val="00705328"/>
    <w:rsid w:val="00711F98"/>
    <w:rsid w:val="00711FAF"/>
    <w:rsid w:val="00713523"/>
    <w:rsid w:val="00720275"/>
    <w:rsid w:val="007205B1"/>
    <w:rsid w:val="00721995"/>
    <w:rsid w:val="00722C4F"/>
    <w:rsid w:val="00732EF5"/>
    <w:rsid w:val="0073550D"/>
    <w:rsid w:val="00745987"/>
    <w:rsid w:val="00747B97"/>
    <w:rsid w:val="007536B5"/>
    <w:rsid w:val="00756ECB"/>
    <w:rsid w:val="00762005"/>
    <w:rsid w:val="007621DF"/>
    <w:rsid w:val="00762460"/>
    <w:rsid w:val="007732F2"/>
    <w:rsid w:val="0077348E"/>
    <w:rsid w:val="00775D19"/>
    <w:rsid w:val="007810A6"/>
    <w:rsid w:val="007818B7"/>
    <w:rsid w:val="007818E9"/>
    <w:rsid w:val="00796EA8"/>
    <w:rsid w:val="00797E7E"/>
    <w:rsid w:val="007A0EA8"/>
    <w:rsid w:val="007A46C8"/>
    <w:rsid w:val="007A7022"/>
    <w:rsid w:val="007B228F"/>
    <w:rsid w:val="007B60F6"/>
    <w:rsid w:val="007B74EF"/>
    <w:rsid w:val="007C33C8"/>
    <w:rsid w:val="007D3B21"/>
    <w:rsid w:val="007D7BB3"/>
    <w:rsid w:val="007E0DF1"/>
    <w:rsid w:val="007E1833"/>
    <w:rsid w:val="007F3C82"/>
    <w:rsid w:val="007F468C"/>
    <w:rsid w:val="00810AC8"/>
    <w:rsid w:val="00811AA4"/>
    <w:rsid w:val="00824DB5"/>
    <w:rsid w:val="00826E3E"/>
    <w:rsid w:val="008274C9"/>
    <w:rsid w:val="00831590"/>
    <w:rsid w:val="00834083"/>
    <w:rsid w:val="00834E5D"/>
    <w:rsid w:val="00836010"/>
    <w:rsid w:val="008411EC"/>
    <w:rsid w:val="008526EB"/>
    <w:rsid w:val="0085492C"/>
    <w:rsid w:val="0085735B"/>
    <w:rsid w:val="00857ECA"/>
    <w:rsid w:val="008669EA"/>
    <w:rsid w:val="00867C11"/>
    <w:rsid w:val="008759B9"/>
    <w:rsid w:val="008816A3"/>
    <w:rsid w:val="00883B85"/>
    <w:rsid w:val="00891640"/>
    <w:rsid w:val="0089569D"/>
    <w:rsid w:val="008A1DBF"/>
    <w:rsid w:val="008A77B2"/>
    <w:rsid w:val="008B197F"/>
    <w:rsid w:val="008B3DC4"/>
    <w:rsid w:val="008B4101"/>
    <w:rsid w:val="008B66A8"/>
    <w:rsid w:val="008B6F89"/>
    <w:rsid w:val="008B7BD6"/>
    <w:rsid w:val="008C6050"/>
    <w:rsid w:val="008D3875"/>
    <w:rsid w:val="008E1337"/>
    <w:rsid w:val="008E19AE"/>
    <w:rsid w:val="008E3AA9"/>
    <w:rsid w:val="00910B53"/>
    <w:rsid w:val="00933EAC"/>
    <w:rsid w:val="0095040D"/>
    <w:rsid w:val="009516F6"/>
    <w:rsid w:val="009534DA"/>
    <w:rsid w:val="00957815"/>
    <w:rsid w:val="00963C34"/>
    <w:rsid w:val="00964061"/>
    <w:rsid w:val="00965AA8"/>
    <w:rsid w:val="0096622F"/>
    <w:rsid w:val="00972E48"/>
    <w:rsid w:val="009739EE"/>
    <w:rsid w:val="00973C92"/>
    <w:rsid w:val="00975031"/>
    <w:rsid w:val="00975DCB"/>
    <w:rsid w:val="00980123"/>
    <w:rsid w:val="00982887"/>
    <w:rsid w:val="009848B0"/>
    <w:rsid w:val="0098764B"/>
    <w:rsid w:val="00992020"/>
    <w:rsid w:val="009926E7"/>
    <w:rsid w:val="009962B4"/>
    <w:rsid w:val="00997952"/>
    <w:rsid w:val="009A53D9"/>
    <w:rsid w:val="009A576E"/>
    <w:rsid w:val="009A6ADB"/>
    <w:rsid w:val="009A7912"/>
    <w:rsid w:val="009B372E"/>
    <w:rsid w:val="009C5311"/>
    <w:rsid w:val="009D2A21"/>
    <w:rsid w:val="009F0FE6"/>
    <w:rsid w:val="009F6BE5"/>
    <w:rsid w:val="00A0076F"/>
    <w:rsid w:val="00A1251E"/>
    <w:rsid w:val="00A302E1"/>
    <w:rsid w:val="00A31958"/>
    <w:rsid w:val="00A327F7"/>
    <w:rsid w:val="00A32D7D"/>
    <w:rsid w:val="00A3474C"/>
    <w:rsid w:val="00A35939"/>
    <w:rsid w:val="00A523C1"/>
    <w:rsid w:val="00A61683"/>
    <w:rsid w:val="00A6642A"/>
    <w:rsid w:val="00A664D6"/>
    <w:rsid w:val="00A67AD2"/>
    <w:rsid w:val="00A7345E"/>
    <w:rsid w:val="00A7605B"/>
    <w:rsid w:val="00A812A5"/>
    <w:rsid w:val="00A85EE5"/>
    <w:rsid w:val="00A93CEA"/>
    <w:rsid w:val="00A956D6"/>
    <w:rsid w:val="00A97C6D"/>
    <w:rsid w:val="00AA0F72"/>
    <w:rsid w:val="00AA3687"/>
    <w:rsid w:val="00AA51C0"/>
    <w:rsid w:val="00AA5D71"/>
    <w:rsid w:val="00AA7C70"/>
    <w:rsid w:val="00AB56A0"/>
    <w:rsid w:val="00AC23B2"/>
    <w:rsid w:val="00AC3AF2"/>
    <w:rsid w:val="00AE4E7D"/>
    <w:rsid w:val="00AE61D3"/>
    <w:rsid w:val="00AF07B8"/>
    <w:rsid w:val="00AF0B95"/>
    <w:rsid w:val="00AF57EB"/>
    <w:rsid w:val="00B0198B"/>
    <w:rsid w:val="00B1365D"/>
    <w:rsid w:val="00B14600"/>
    <w:rsid w:val="00B14902"/>
    <w:rsid w:val="00B1726C"/>
    <w:rsid w:val="00B201E2"/>
    <w:rsid w:val="00B20707"/>
    <w:rsid w:val="00B2082E"/>
    <w:rsid w:val="00B26CA9"/>
    <w:rsid w:val="00B30E1B"/>
    <w:rsid w:val="00B328B5"/>
    <w:rsid w:val="00B342DB"/>
    <w:rsid w:val="00B34A53"/>
    <w:rsid w:val="00B34C80"/>
    <w:rsid w:val="00B47524"/>
    <w:rsid w:val="00B50123"/>
    <w:rsid w:val="00B54949"/>
    <w:rsid w:val="00B55418"/>
    <w:rsid w:val="00B56D1F"/>
    <w:rsid w:val="00B61B61"/>
    <w:rsid w:val="00B61BE1"/>
    <w:rsid w:val="00B6339F"/>
    <w:rsid w:val="00B648F7"/>
    <w:rsid w:val="00B6669F"/>
    <w:rsid w:val="00B67C22"/>
    <w:rsid w:val="00B709F7"/>
    <w:rsid w:val="00B714EC"/>
    <w:rsid w:val="00B74BA6"/>
    <w:rsid w:val="00B74F6B"/>
    <w:rsid w:val="00B7581D"/>
    <w:rsid w:val="00B77F1C"/>
    <w:rsid w:val="00B77FD2"/>
    <w:rsid w:val="00B82AEA"/>
    <w:rsid w:val="00B84494"/>
    <w:rsid w:val="00B8725F"/>
    <w:rsid w:val="00B919BB"/>
    <w:rsid w:val="00B932A3"/>
    <w:rsid w:val="00B93E37"/>
    <w:rsid w:val="00B97F78"/>
    <w:rsid w:val="00BA1A7C"/>
    <w:rsid w:val="00BA7FAB"/>
    <w:rsid w:val="00BB15D8"/>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C02235"/>
    <w:rsid w:val="00C05F5B"/>
    <w:rsid w:val="00C10A74"/>
    <w:rsid w:val="00C10C7F"/>
    <w:rsid w:val="00C13697"/>
    <w:rsid w:val="00C13844"/>
    <w:rsid w:val="00C25DED"/>
    <w:rsid w:val="00C31A77"/>
    <w:rsid w:val="00C40342"/>
    <w:rsid w:val="00C4376E"/>
    <w:rsid w:val="00C4682A"/>
    <w:rsid w:val="00C47CD5"/>
    <w:rsid w:val="00C6426E"/>
    <w:rsid w:val="00C75E7E"/>
    <w:rsid w:val="00C76D1F"/>
    <w:rsid w:val="00C77D11"/>
    <w:rsid w:val="00C864BC"/>
    <w:rsid w:val="00C86854"/>
    <w:rsid w:val="00C86F46"/>
    <w:rsid w:val="00C9134C"/>
    <w:rsid w:val="00C94047"/>
    <w:rsid w:val="00C95C61"/>
    <w:rsid w:val="00C969E1"/>
    <w:rsid w:val="00CB1B5E"/>
    <w:rsid w:val="00CB26E6"/>
    <w:rsid w:val="00CB3CF6"/>
    <w:rsid w:val="00CC0A10"/>
    <w:rsid w:val="00CC5DBD"/>
    <w:rsid w:val="00CC5F90"/>
    <w:rsid w:val="00CC6B66"/>
    <w:rsid w:val="00CD2781"/>
    <w:rsid w:val="00CD5718"/>
    <w:rsid w:val="00CD6F98"/>
    <w:rsid w:val="00CE1781"/>
    <w:rsid w:val="00CE280E"/>
    <w:rsid w:val="00CE7E6C"/>
    <w:rsid w:val="00CF1886"/>
    <w:rsid w:val="00CF5F8E"/>
    <w:rsid w:val="00D00A1A"/>
    <w:rsid w:val="00D0566B"/>
    <w:rsid w:val="00D05F47"/>
    <w:rsid w:val="00D06EA0"/>
    <w:rsid w:val="00D14E12"/>
    <w:rsid w:val="00D16C81"/>
    <w:rsid w:val="00D210AF"/>
    <w:rsid w:val="00D312D5"/>
    <w:rsid w:val="00D33383"/>
    <w:rsid w:val="00D35334"/>
    <w:rsid w:val="00D3774B"/>
    <w:rsid w:val="00D407C1"/>
    <w:rsid w:val="00D41F93"/>
    <w:rsid w:val="00D43E17"/>
    <w:rsid w:val="00D47B35"/>
    <w:rsid w:val="00D47BE6"/>
    <w:rsid w:val="00D51C87"/>
    <w:rsid w:val="00D61C94"/>
    <w:rsid w:val="00D62CDE"/>
    <w:rsid w:val="00D650F9"/>
    <w:rsid w:val="00D65CD4"/>
    <w:rsid w:val="00D73EF7"/>
    <w:rsid w:val="00D76B07"/>
    <w:rsid w:val="00D805A8"/>
    <w:rsid w:val="00D805B0"/>
    <w:rsid w:val="00D81D51"/>
    <w:rsid w:val="00D81EE4"/>
    <w:rsid w:val="00D91B7A"/>
    <w:rsid w:val="00DA4B5C"/>
    <w:rsid w:val="00DA67BF"/>
    <w:rsid w:val="00DA7895"/>
    <w:rsid w:val="00DB209A"/>
    <w:rsid w:val="00DB46A9"/>
    <w:rsid w:val="00DB74A0"/>
    <w:rsid w:val="00DB763E"/>
    <w:rsid w:val="00DC2E5F"/>
    <w:rsid w:val="00DC3E98"/>
    <w:rsid w:val="00DC5593"/>
    <w:rsid w:val="00DC7940"/>
    <w:rsid w:val="00DD0EC9"/>
    <w:rsid w:val="00DD578B"/>
    <w:rsid w:val="00DD649A"/>
    <w:rsid w:val="00DE1B21"/>
    <w:rsid w:val="00DE387A"/>
    <w:rsid w:val="00DE4DA6"/>
    <w:rsid w:val="00DE58D9"/>
    <w:rsid w:val="00DF4922"/>
    <w:rsid w:val="00DF6110"/>
    <w:rsid w:val="00E0597C"/>
    <w:rsid w:val="00E075C6"/>
    <w:rsid w:val="00E112C1"/>
    <w:rsid w:val="00E165F4"/>
    <w:rsid w:val="00E20922"/>
    <w:rsid w:val="00E209CC"/>
    <w:rsid w:val="00E226AC"/>
    <w:rsid w:val="00E22CFA"/>
    <w:rsid w:val="00E26E28"/>
    <w:rsid w:val="00E30258"/>
    <w:rsid w:val="00E37847"/>
    <w:rsid w:val="00E37D17"/>
    <w:rsid w:val="00E432BE"/>
    <w:rsid w:val="00E52C0C"/>
    <w:rsid w:val="00E54EC8"/>
    <w:rsid w:val="00E65494"/>
    <w:rsid w:val="00E6662D"/>
    <w:rsid w:val="00E914B9"/>
    <w:rsid w:val="00E97757"/>
    <w:rsid w:val="00EA7687"/>
    <w:rsid w:val="00EB12AE"/>
    <w:rsid w:val="00EB2104"/>
    <w:rsid w:val="00EB467D"/>
    <w:rsid w:val="00EB5BF8"/>
    <w:rsid w:val="00EC35D2"/>
    <w:rsid w:val="00EC3B49"/>
    <w:rsid w:val="00EC50A1"/>
    <w:rsid w:val="00ED1367"/>
    <w:rsid w:val="00EE1DFA"/>
    <w:rsid w:val="00EE3782"/>
    <w:rsid w:val="00EF16B8"/>
    <w:rsid w:val="00EF1CEB"/>
    <w:rsid w:val="00EF34A0"/>
    <w:rsid w:val="00EF66D0"/>
    <w:rsid w:val="00F04A5B"/>
    <w:rsid w:val="00F05C11"/>
    <w:rsid w:val="00F11F97"/>
    <w:rsid w:val="00F149F6"/>
    <w:rsid w:val="00F22300"/>
    <w:rsid w:val="00F25964"/>
    <w:rsid w:val="00F26786"/>
    <w:rsid w:val="00F30833"/>
    <w:rsid w:val="00F30E54"/>
    <w:rsid w:val="00F330B0"/>
    <w:rsid w:val="00F33F55"/>
    <w:rsid w:val="00F3736B"/>
    <w:rsid w:val="00F41E75"/>
    <w:rsid w:val="00F428EA"/>
    <w:rsid w:val="00F50961"/>
    <w:rsid w:val="00F53083"/>
    <w:rsid w:val="00F55609"/>
    <w:rsid w:val="00F60515"/>
    <w:rsid w:val="00F605F4"/>
    <w:rsid w:val="00F640C7"/>
    <w:rsid w:val="00F661A7"/>
    <w:rsid w:val="00F7495D"/>
    <w:rsid w:val="00F80588"/>
    <w:rsid w:val="00F82042"/>
    <w:rsid w:val="00F86208"/>
    <w:rsid w:val="00F86FEF"/>
    <w:rsid w:val="00F90943"/>
    <w:rsid w:val="00F962B8"/>
    <w:rsid w:val="00FA014F"/>
    <w:rsid w:val="00FA4BD6"/>
    <w:rsid w:val="00FA7700"/>
    <w:rsid w:val="00FC76A4"/>
    <w:rsid w:val="00FD06DB"/>
    <w:rsid w:val="00FD2BD9"/>
    <w:rsid w:val="00FD75D0"/>
    <w:rsid w:val="00FE04DF"/>
    <w:rsid w:val="00FF01AD"/>
    <w:rsid w:val="00FF08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26274DB7-3F62-41E2-B204-DB81EA1DB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97CA2-01D6-489C-A2F4-648242FE3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5589</Words>
  <Characters>31860</Characters>
  <Application>Microsoft Office Word</Application>
  <DocSecurity>0</DocSecurity>
  <Lines>265</Lines>
  <Paragraphs>74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2020-06-22T06:48:00Z</cp:lastPrinted>
  <dcterms:created xsi:type="dcterms:W3CDTF">2020-07-15T12:13:00Z</dcterms:created>
  <dcterms:modified xsi:type="dcterms:W3CDTF">2020-07-15T12:13:00Z</dcterms:modified>
</cp:coreProperties>
</file>